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7F13" w:rsidRPr="00003665" w:rsidRDefault="00CB05CC" w:rsidP="00CB05CC">
      <w:pPr>
        <w:jc w:val="center"/>
        <w:rPr>
          <w:rFonts w:ascii="Times New Roman" w:hAnsi="Times New Roman" w:cs="Times New Roman"/>
          <w:b/>
          <w:noProof/>
          <w:sz w:val="24"/>
          <w:szCs w:val="24"/>
        </w:rPr>
      </w:pPr>
      <w:r w:rsidRPr="00003665">
        <w:rPr>
          <w:rFonts w:ascii="Times New Roman" w:hAnsi="Times New Roman" w:cs="Times New Roman"/>
          <w:b/>
          <w:noProof/>
          <w:sz w:val="24"/>
          <w:szCs w:val="24"/>
        </w:rPr>
        <w:t>KARŞILAŞTIRMA CETVELİ</w:t>
      </w:r>
    </w:p>
    <w:tbl>
      <w:tblPr>
        <w:tblStyle w:val="TabloKlavuzu"/>
        <w:tblW w:w="15022" w:type="dxa"/>
        <w:tblLook w:val="04A0" w:firstRow="1" w:lastRow="0" w:firstColumn="1" w:lastColumn="0" w:noHBand="0" w:noVBand="1"/>
      </w:tblPr>
      <w:tblGrid>
        <w:gridCol w:w="3755"/>
        <w:gridCol w:w="3756"/>
        <w:gridCol w:w="3755"/>
        <w:gridCol w:w="3756"/>
      </w:tblGrid>
      <w:tr w:rsidR="003767CA" w:rsidRPr="00003665" w:rsidTr="00191F91">
        <w:trPr>
          <w:trHeight w:val="167"/>
          <w:tblHeader/>
        </w:trPr>
        <w:tc>
          <w:tcPr>
            <w:tcW w:w="3755" w:type="dxa"/>
          </w:tcPr>
          <w:p w:rsidR="003767CA" w:rsidRPr="00191F91" w:rsidRDefault="003767CA" w:rsidP="00191F91">
            <w:pPr>
              <w:jc w:val="center"/>
              <w:rPr>
                <w:rFonts w:ascii="Times New Roman" w:eastAsia="Calibri" w:hAnsi="Times New Roman" w:cs="Times New Roman"/>
                <w:b/>
                <w:noProof/>
                <w:sz w:val="20"/>
                <w:szCs w:val="20"/>
              </w:rPr>
            </w:pPr>
          </w:p>
          <w:p w:rsidR="003767CA" w:rsidRPr="00191F91" w:rsidRDefault="003767CA" w:rsidP="00191F91">
            <w:pPr>
              <w:jc w:val="center"/>
              <w:rPr>
                <w:rFonts w:ascii="Times New Roman" w:eastAsia="Calibri" w:hAnsi="Times New Roman" w:cs="Times New Roman"/>
                <w:b/>
                <w:noProof/>
                <w:sz w:val="20"/>
                <w:szCs w:val="20"/>
              </w:rPr>
            </w:pPr>
            <w:r w:rsidRPr="00191F91">
              <w:rPr>
                <w:rFonts w:ascii="Times New Roman" w:eastAsia="Calibri" w:hAnsi="Times New Roman" w:cs="Times New Roman"/>
                <w:b/>
                <w:noProof/>
                <w:sz w:val="20"/>
                <w:szCs w:val="20"/>
              </w:rPr>
              <w:t>SERMAYE PİYASASINDA FAALİYETTE BULUNACAK GAYRİMENKUL DEĞERLEME KURULUŞLARI</w:t>
            </w:r>
          </w:p>
          <w:p w:rsidR="003767CA" w:rsidRPr="00191F91" w:rsidRDefault="003767CA" w:rsidP="00191F91">
            <w:pPr>
              <w:jc w:val="center"/>
              <w:rPr>
                <w:rFonts w:ascii="Times New Roman" w:eastAsia="Calibri" w:hAnsi="Times New Roman" w:cs="Times New Roman"/>
                <w:b/>
                <w:noProof/>
                <w:sz w:val="20"/>
                <w:szCs w:val="20"/>
              </w:rPr>
            </w:pPr>
            <w:r w:rsidRPr="00191F91">
              <w:rPr>
                <w:rFonts w:ascii="Times New Roman" w:eastAsia="Calibri" w:hAnsi="Times New Roman" w:cs="Times New Roman"/>
                <w:b/>
                <w:noProof/>
                <w:sz w:val="20"/>
                <w:szCs w:val="20"/>
              </w:rPr>
              <w:t>HAKKINDA TEBLİĞ (III-62.3)</w:t>
            </w:r>
          </w:p>
          <w:p w:rsidR="003767CA" w:rsidRPr="00191F91" w:rsidRDefault="003767CA" w:rsidP="00191F91">
            <w:pPr>
              <w:jc w:val="center"/>
              <w:rPr>
                <w:rFonts w:ascii="Times New Roman" w:hAnsi="Times New Roman" w:cs="Times New Roman"/>
                <w:noProof/>
                <w:sz w:val="20"/>
                <w:szCs w:val="20"/>
              </w:rPr>
            </w:pPr>
          </w:p>
        </w:tc>
        <w:tc>
          <w:tcPr>
            <w:tcW w:w="3756" w:type="dxa"/>
          </w:tcPr>
          <w:p w:rsidR="003767CA" w:rsidRPr="00191F91" w:rsidRDefault="003767CA" w:rsidP="00191F91">
            <w:pPr>
              <w:jc w:val="center"/>
              <w:rPr>
                <w:rFonts w:ascii="Times New Roman" w:eastAsia="Calibri" w:hAnsi="Times New Roman" w:cs="Times New Roman"/>
                <w:b/>
                <w:noProof/>
                <w:sz w:val="20"/>
                <w:szCs w:val="20"/>
              </w:rPr>
            </w:pPr>
          </w:p>
          <w:p w:rsidR="003767CA" w:rsidRPr="00191F91" w:rsidRDefault="003767CA" w:rsidP="00191F91">
            <w:pPr>
              <w:jc w:val="center"/>
              <w:rPr>
                <w:rFonts w:ascii="Times New Roman" w:eastAsia="Calibri" w:hAnsi="Times New Roman" w:cs="Times New Roman"/>
                <w:b/>
                <w:noProof/>
                <w:sz w:val="20"/>
                <w:szCs w:val="20"/>
              </w:rPr>
            </w:pPr>
            <w:r w:rsidRPr="00191F91">
              <w:rPr>
                <w:rFonts w:ascii="Times New Roman" w:eastAsia="Calibri" w:hAnsi="Times New Roman" w:cs="Times New Roman"/>
                <w:b/>
                <w:noProof/>
                <w:sz w:val="20"/>
                <w:szCs w:val="20"/>
              </w:rPr>
              <w:t>SERMAYE PİYASASINDA FAALİYETTE BULUNACAK GAYRİMENKUL DEĞERLEME KURULUŞLARI</w:t>
            </w:r>
          </w:p>
          <w:p w:rsidR="003767CA" w:rsidRPr="00191F91" w:rsidRDefault="003767CA" w:rsidP="00191F91">
            <w:pPr>
              <w:jc w:val="center"/>
              <w:rPr>
                <w:rFonts w:ascii="Times New Roman" w:eastAsia="Calibri" w:hAnsi="Times New Roman" w:cs="Times New Roman"/>
                <w:b/>
                <w:noProof/>
                <w:sz w:val="20"/>
                <w:szCs w:val="20"/>
              </w:rPr>
            </w:pPr>
            <w:r w:rsidRPr="00191F91">
              <w:rPr>
                <w:rFonts w:ascii="Times New Roman" w:eastAsia="Calibri" w:hAnsi="Times New Roman" w:cs="Times New Roman"/>
                <w:b/>
                <w:noProof/>
                <w:sz w:val="20"/>
                <w:szCs w:val="20"/>
              </w:rPr>
              <w:t>HAKKINDA TEBLİĞ’DE (III-62.3)</w:t>
            </w:r>
          </w:p>
          <w:p w:rsidR="003767CA" w:rsidRPr="00191F91" w:rsidRDefault="003767CA" w:rsidP="00191F91">
            <w:pPr>
              <w:jc w:val="center"/>
              <w:rPr>
                <w:rFonts w:ascii="Times New Roman" w:eastAsia="Calibri" w:hAnsi="Times New Roman" w:cs="Times New Roman"/>
                <w:b/>
                <w:noProof/>
                <w:sz w:val="20"/>
                <w:szCs w:val="20"/>
              </w:rPr>
            </w:pPr>
            <w:r w:rsidRPr="00191F91">
              <w:rPr>
                <w:rFonts w:ascii="Times New Roman" w:eastAsia="Calibri" w:hAnsi="Times New Roman" w:cs="Times New Roman"/>
                <w:b/>
                <w:noProof/>
                <w:sz w:val="20"/>
                <w:szCs w:val="20"/>
              </w:rPr>
              <w:t>DEĞİŞİKLİK YAPILMASINA DAİR TEBLİĞ TASLAĞI</w:t>
            </w:r>
          </w:p>
          <w:p w:rsidR="003767CA" w:rsidRPr="00191F91" w:rsidRDefault="003767CA" w:rsidP="00191F91">
            <w:pPr>
              <w:jc w:val="center"/>
              <w:rPr>
                <w:rFonts w:ascii="Times New Roman" w:hAnsi="Times New Roman" w:cs="Times New Roman"/>
                <w:noProof/>
                <w:sz w:val="20"/>
                <w:szCs w:val="20"/>
              </w:rPr>
            </w:pPr>
            <w:r w:rsidRPr="00191F91">
              <w:rPr>
                <w:rFonts w:ascii="Times New Roman" w:eastAsia="Calibri" w:hAnsi="Times New Roman" w:cs="Times New Roman"/>
                <w:b/>
                <w:noProof/>
                <w:sz w:val="20"/>
                <w:szCs w:val="20"/>
              </w:rPr>
              <w:t>(III-62.3.a)</w:t>
            </w:r>
          </w:p>
        </w:tc>
        <w:tc>
          <w:tcPr>
            <w:tcW w:w="3755" w:type="dxa"/>
          </w:tcPr>
          <w:p w:rsidR="00C9620E" w:rsidRPr="00191F91" w:rsidRDefault="00C9620E" w:rsidP="00191F91">
            <w:pPr>
              <w:jc w:val="center"/>
              <w:rPr>
                <w:rFonts w:ascii="Times New Roman" w:eastAsia="Calibri" w:hAnsi="Times New Roman" w:cs="Times New Roman"/>
                <w:b/>
                <w:noProof/>
                <w:sz w:val="20"/>
                <w:szCs w:val="20"/>
              </w:rPr>
            </w:pPr>
          </w:p>
          <w:p w:rsidR="00E65964" w:rsidRPr="00191F91" w:rsidRDefault="00E65964" w:rsidP="00191F91">
            <w:pPr>
              <w:jc w:val="center"/>
              <w:rPr>
                <w:rFonts w:ascii="Times New Roman" w:eastAsia="Calibri" w:hAnsi="Times New Roman" w:cs="Times New Roman"/>
                <w:b/>
                <w:noProof/>
                <w:sz w:val="20"/>
                <w:szCs w:val="20"/>
              </w:rPr>
            </w:pPr>
            <w:r w:rsidRPr="00191F91">
              <w:rPr>
                <w:rFonts w:ascii="Times New Roman" w:eastAsia="Calibri" w:hAnsi="Times New Roman" w:cs="Times New Roman"/>
                <w:b/>
                <w:noProof/>
                <w:sz w:val="20"/>
                <w:szCs w:val="20"/>
              </w:rPr>
              <w:t>TÜRKİYE DEĞERLEME UZMANLARI BİRLİĞİ</w:t>
            </w:r>
          </w:p>
          <w:p w:rsidR="003767CA" w:rsidRPr="00191F91" w:rsidRDefault="00E65964" w:rsidP="00191F91">
            <w:pPr>
              <w:jc w:val="center"/>
              <w:rPr>
                <w:rFonts w:ascii="Times New Roman" w:eastAsia="Calibri" w:hAnsi="Times New Roman" w:cs="Times New Roman"/>
                <w:b/>
                <w:noProof/>
                <w:sz w:val="20"/>
                <w:szCs w:val="20"/>
              </w:rPr>
            </w:pPr>
            <w:r w:rsidRPr="00191F91">
              <w:rPr>
                <w:rFonts w:ascii="Times New Roman" w:eastAsia="Calibri" w:hAnsi="Times New Roman" w:cs="Times New Roman"/>
                <w:b/>
                <w:noProof/>
                <w:sz w:val="20"/>
                <w:szCs w:val="20"/>
              </w:rPr>
              <w:t>GÖRÜŞ VE DEĞERLENDİRMELERİ</w:t>
            </w:r>
          </w:p>
        </w:tc>
        <w:tc>
          <w:tcPr>
            <w:tcW w:w="3756" w:type="dxa"/>
          </w:tcPr>
          <w:p w:rsidR="00C9620E" w:rsidRPr="00191F91" w:rsidRDefault="00C9620E" w:rsidP="00191F91">
            <w:pPr>
              <w:pStyle w:val="stBilgi"/>
              <w:jc w:val="center"/>
              <w:rPr>
                <w:b/>
                <w:sz w:val="20"/>
                <w:szCs w:val="20"/>
              </w:rPr>
            </w:pPr>
          </w:p>
          <w:p w:rsidR="00C9620E" w:rsidRPr="00191F91" w:rsidRDefault="00C9620E" w:rsidP="00191F91">
            <w:pPr>
              <w:jc w:val="center"/>
              <w:rPr>
                <w:rFonts w:ascii="Times New Roman" w:eastAsia="Calibri" w:hAnsi="Times New Roman" w:cs="Times New Roman"/>
                <w:b/>
                <w:noProof/>
                <w:sz w:val="20"/>
                <w:szCs w:val="20"/>
              </w:rPr>
            </w:pPr>
          </w:p>
          <w:p w:rsidR="00C9620E" w:rsidRPr="00191F91" w:rsidRDefault="00C9620E" w:rsidP="00191F91">
            <w:pPr>
              <w:jc w:val="center"/>
              <w:rPr>
                <w:rFonts w:ascii="Times New Roman" w:eastAsia="Calibri" w:hAnsi="Times New Roman" w:cs="Times New Roman"/>
                <w:b/>
                <w:noProof/>
                <w:sz w:val="20"/>
                <w:szCs w:val="20"/>
              </w:rPr>
            </w:pPr>
            <w:r w:rsidRPr="00191F91">
              <w:rPr>
                <w:rFonts w:ascii="Times New Roman" w:eastAsia="Calibri" w:hAnsi="Times New Roman" w:cs="Times New Roman"/>
                <w:b/>
                <w:noProof/>
                <w:sz w:val="20"/>
                <w:szCs w:val="20"/>
              </w:rPr>
              <w:t>TÜRKİYE DEĞERLEME UZMANLARI BİRLİĞİ</w:t>
            </w:r>
          </w:p>
          <w:p w:rsidR="003767CA" w:rsidRPr="00191F91" w:rsidRDefault="00C9620E" w:rsidP="00191F91">
            <w:pPr>
              <w:jc w:val="center"/>
              <w:rPr>
                <w:rFonts w:ascii="Times New Roman" w:eastAsia="Calibri" w:hAnsi="Times New Roman" w:cs="Times New Roman"/>
                <w:b/>
                <w:noProof/>
                <w:sz w:val="20"/>
                <w:szCs w:val="20"/>
              </w:rPr>
            </w:pPr>
            <w:r w:rsidRPr="00191F91">
              <w:rPr>
                <w:rFonts w:ascii="Times New Roman" w:eastAsia="Calibri" w:hAnsi="Times New Roman" w:cs="Times New Roman"/>
                <w:b/>
                <w:noProof/>
                <w:sz w:val="20"/>
                <w:szCs w:val="20"/>
              </w:rPr>
              <w:t>ÖNERİLERİ</w:t>
            </w:r>
          </w:p>
        </w:tc>
      </w:tr>
      <w:tr w:rsidR="003767CA" w:rsidRPr="00003665" w:rsidTr="00191F91">
        <w:trPr>
          <w:trHeight w:val="167"/>
        </w:trPr>
        <w:tc>
          <w:tcPr>
            <w:tcW w:w="3755" w:type="dxa"/>
          </w:tcPr>
          <w:p w:rsidR="003767CA" w:rsidRPr="00003665" w:rsidRDefault="003767CA" w:rsidP="00EF058A">
            <w:pPr>
              <w:ind w:firstLine="29"/>
              <w:rPr>
                <w:rFonts w:ascii="Times New Roman" w:eastAsia="Calibri" w:hAnsi="Times New Roman" w:cs="Times New Roman"/>
                <w:b/>
                <w:noProof/>
                <w:sz w:val="24"/>
                <w:szCs w:val="24"/>
              </w:rPr>
            </w:pPr>
            <w:r w:rsidRPr="00003665">
              <w:rPr>
                <w:rFonts w:ascii="Times New Roman" w:hAnsi="Times New Roman" w:cs="Times New Roman"/>
                <w:noProof/>
                <w:sz w:val="24"/>
                <w:szCs w:val="24"/>
                <w:lang w:eastAsia="tr-TR"/>
              </w:rPr>
              <w:t>(31/08/2019 tarih ve 30874 sayılı Resmi Gazete’de yayımlanmıştır.)</w:t>
            </w:r>
          </w:p>
        </w:tc>
        <w:tc>
          <w:tcPr>
            <w:tcW w:w="3756" w:type="dxa"/>
          </w:tcPr>
          <w:p w:rsidR="003767CA" w:rsidRPr="00003665" w:rsidRDefault="003767CA" w:rsidP="003D471F">
            <w:pPr>
              <w:ind w:firstLine="428"/>
              <w:jc w:val="both"/>
              <w:rPr>
                <w:rFonts w:ascii="Times New Roman" w:eastAsia="Calibri" w:hAnsi="Times New Roman" w:cs="Times New Roman"/>
                <w:b/>
                <w:noProof/>
                <w:sz w:val="24"/>
                <w:szCs w:val="24"/>
              </w:rPr>
            </w:pPr>
          </w:p>
        </w:tc>
        <w:tc>
          <w:tcPr>
            <w:tcW w:w="3755" w:type="dxa"/>
          </w:tcPr>
          <w:p w:rsidR="003767CA" w:rsidRPr="00003665" w:rsidRDefault="003767CA" w:rsidP="003D471F">
            <w:pPr>
              <w:ind w:firstLine="428"/>
              <w:jc w:val="both"/>
              <w:rPr>
                <w:rFonts w:ascii="Times New Roman" w:eastAsia="Calibri" w:hAnsi="Times New Roman" w:cs="Times New Roman"/>
                <w:b/>
                <w:noProof/>
                <w:sz w:val="24"/>
                <w:szCs w:val="24"/>
              </w:rPr>
            </w:pPr>
          </w:p>
        </w:tc>
        <w:tc>
          <w:tcPr>
            <w:tcW w:w="3756" w:type="dxa"/>
          </w:tcPr>
          <w:p w:rsidR="003767CA" w:rsidRPr="00003665" w:rsidRDefault="003767CA" w:rsidP="003D471F">
            <w:pPr>
              <w:ind w:firstLine="428"/>
              <w:jc w:val="both"/>
              <w:rPr>
                <w:rFonts w:ascii="Times New Roman" w:eastAsia="Calibri" w:hAnsi="Times New Roman" w:cs="Times New Roman"/>
                <w:b/>
                <w:noProof/>
                <w:sz w:val="24"/>
                <w:szCs w:val="24"/>
              </w:rPr>
            </w:pPr>
          </w:p>
        </w:tc>
      </w:tr>
      <w:tr w:rsidR="007D6B50" w:rsidRPr="00003665" w:rsidTr="00191F91">
        <w:trPr>
          <w:trHeight w:val="167"/>
        </w:trPr>
        <w:tc>
          <w:tcPr>
            <w:tcW w:w="3755" w:type="dxa"/>
          </w:tcPr>
          <w:p w:rsidR="007D6B50" w:rsidRPr="00003665" w:rsidRDefault="007D6B50" w:rsidP="007D6B50">
            <w:pPr>
              <w:pStyle w:val="AralkYok"/>
              <w:ind w:firstLine="313"/>
              <w:jc w:val="both"/>
              <w:rPr>
                <w:rFonts w:ascii="Times New Roman" w:hAnsi="Times New Roman" w:cs="Times New Roman"/>
                <w:b/>
                <w:noProof/>
                <w:sz w:val="24"/>
                <w:szCs w:val="24"/>
              </w:rPr>
            </w:pPr>
          </w:p>
        </w:tc>
        <w:tc>
          <w:tcPr>
            <w:tcW w:w="3756" w:type="dxa"/>
          </w:tcPr>
          <w:p w:rsidR="007D6B50" w:rsidRPr="00003665" w:rsidRDefault="004E7258" w:rsidP="00CB05CC">
            <w:pPr>
              <w:jc w:val="both"/>
              <w:rPr>
                <w:rFonts w:ascii="Times New Roman" w:hAnsi="Times New Roman" w:cs="Times New Roman"/>
                <w:b/>
                <w:noProof/>
                <w:sz w:val="24"/>
                <w:szCs w:val="24"/>
              </w:rPr>
            </w:pPr>
            <w:r w:rsidRPr="00003665">
              <w:rPr>
                <w:rFonts w:ascii="Times New Roman" w:hAnsi="Times New Roman" w:cs="Times New Roman"/>
                <w:b/>
                <w:noProof/>
                <w:sz w:val="24"/>
                <w:szCs w:val="24"/>
              </w:rPr>
              <w:t xml:space="preserve">MADDE 1- </w:t>
            </w:r>
            <w:r w:rsidRPr="00003665">
              <w:rPr>
                <w:rFonts w:ascii="Times New Roman" w:hAnsi="Times New Roman" w:cs="Times New Roman"/>
                <w:noProof/>
                <w:sz w:val="24"/>
                <w:szCs w:val="24"/>
                <w:lang w:eastAsia="tr-TR"/>
              </w:rPr>
              <w:t xml:space="preserve">31/08/2019 tarih ve 30874 </w:t>
            </w:r>
            <w:r w:rsidRPr="00003665">
              <w:rPr>
                <w:rFonts w:ascii="Times New Roman" w:hAnsi="Times New Roman" w:cs="Times New Roman"/>
                <w:noProof/>
                <w:sz w:val="24"/>
                <w:szCs w:val="24"/>
              </w:rPr>
              <w:t xml:space="preserve">sayılı Resmi Gazete’de yayımlanan </w:t>
            </w:r>
            <w:r w:rsidRPr="00003665">
              <w:rPr>
                <w:rFonts w:ascii="Times New Roman" w:hAnsi="Times New Roman" w:cs="Times New Roman"/>
                <w:noProof/>
                <w:sz w:val="24"/>
                <w:szCs w:val="24"/>
                <w:lang w:eastAsia="tr-TR"/>
              </w:rPr>
              <w:t>Sermaye Piyasasında Faaliyette Bulunacak Gayrimenkul Değerleme Kuruluşları Hakkında Tebliğ’in (III-62.3)</w:t>
            </w:r>
            <w:r w:rsidRPr="00003665">
              <w:rPr>
                <w:rFonts w:ascii="Times New Roman" w:hAnsi="Times New Roman" w:cs="Times New Roman"/>
                <w:noProof/>
                <w:sz w:val="24"/>
                <w:szCs w:val="24"/>
              </w:rPr>
              <w:t xml:space="preserve"> 11 inci maddesinin dördüncü fıkrası aşağıdaki şekilde değiştirilmiştir.</w:t>
            </w:r>
          </w:p>
        </w:tc>
        <w:tc>
          <w:tcPr>
            <w:tcW w:w="3755" w:type="dxa"/>
          </w:tcPr>
          <w:p w:rsidR="007D6B50" w:rsidRPr="00003665" w:rsidRDefault="007D6B50" w:rsidP="00CB05CC">
            <w:pPr>
              <w:jc w:val="both"/>
              <w:rPr>
                <w:rFonts w:ascii="Times New Roman" w:hAnsi="Times New Roman" w:cs="Times New Roman"/>
                <w:b/>
                <w:noProof/>
                <w:sz w:val="24"/>
                <w:szCs w:val="24"/>
              </w:rPr>
            </w:pPr>
          </w:p>
        </w:tc>
        <w:tc>
          <w:tcPr>
            <w:tcW w:w="3756" w:type="dxa"/>
          </w:tcPr>
          <w:p w:rsidR="007D6B50" w:rsidRPr="00003665" w:rsidRDefault="007D6B50" w:rsidP="00CB05CC">
            <w:pPr>
              <w:jc w:val="both"/>
              <w:rPr>
                <w:rFonts w:ascii="Times New Roman" w:hAnsi="Times New Roman" w:cs="Times New Roman"/>
                <w:b/>
                <w:noProof/>
                <w:sz w:val="24"/>
                <w:szCs w:val="24"/>
              </w:rPr>
            </w:pPr>
          </w:p>
        </w:tc>
      </w:tr>
      <w:tr w:rsidR="007D6B50" w:rsidRPr="00003665" w:rsidTr="00191F91">
        <w:trPr>
          <w:trHeight w:val="167"/>
        </w:trPr>
        <w:tc>
          <w:tcPr>
            <w:tcW w:w="3755" w:type="dxa"/>
          </w:tcPr>
          <w:p w:rsidR="004E7258" w:rsidRPr="00003665" w:rsidRDefault="004E7258" w:rsidP="004E7258">
            <w:pPr>
              <w:pStyle w:val="GvdeMetni2"/>
              <w:spacing w:before="0" w:line="240" w:lineRule="auto"/>
              <w:ind w:firstLine="567"/>
              <w:rPr>
                <w:rFonts w:ascii="Times New Roman" w:hAnsi="Times New Roman"/>
                <w:noProof/>
                <w:sz w:val="24"/>
                <w:szCs w:val="24"/>
              </w:rPr>
            </w:pPr>
            <w:r w:rsidRPr="00003665">
              <w:rPr>
                <w:rFonts w:ascii="Times New Roman" w:hAnsi="Times New Roman"/>
                <w:noProof/>
                <w:sz w:val="24"/>
                <w:szCs w:val="24"/>
              </w:rPr>
              <w:t>Şube açılması ve dışarıdan gayrimenkul değerleme hizmeti alınması</w:t>
            </w:r>
          </w:p>
          <w:p w:rsidR="007D6B50" w:rsidRPr="00003665" w:rsidRDefault="004E7258" w:rsidP="004E7258">
            <w:pPr>
              <w:ind w:firstLine="567"/>
              <w:jc w:val="both"/>
              <w:rPr>
                <w:rFonts w:ascii="Times New Roman" w:hAnsi="Times New Roman" w:cs="Times New Roman"/>
                <w:noProof/>
                <w:sz w:val="24"/>
                <w:szCs w:val="24"/>
              </w:rPr>
            </w:pPr>
            <w:r w:rsidRPr="00003665">
              <w:rPr>
                <w:rFonts w:ascii="Times New Roman" w:hAnsi="Times New Roman" w:cs="Times New Roman"/>
                <w:b/>
                <w:noProof/>
                <w:sz w:val="24"/>
                <w:szCs w:val="24"/>
              </w:rPr>
              <w:t xml:space="preserve">MADDE 11 – </w:t>
            </w:r>
            <w:r w:rsidRPr="00003665">
              <w:rPr>
                <w:rFonts w:ascii="Times New Roman" w:hAnsi="Times New Roman" w:cs="Times New Roman"/>
                <w:noProof/>
                <w:sz w:val="24"/>
                <w:szCs w:val="24"/>
              </w:rPr>
              <w:t>(1) Gayrimenkul değerleme kuruluşları, faaliyetlerini sürdürebilmek için yeterli mekan, personel ve donanıma sahip olması ve bünyesinde, bu Tebliğ uyarınca sorumlu değerleme uzmanının bulundurması gereken pay sahipliği dışındaki diğer niteliklere haiz olan bir kişinin tam zamanlı şube müdürü olarak istihdam edilmesi şartıyla, şube açabilirler.</w:t>
            </w:r>
          </w:p>
        </w:tc>
        <w:tc>
          <w:tcPr>
            <w:tcW w:w="3756" w:type="dxa"/>
          </w:tcPr>
          <w:p w:rsidR="004E7258" w:rsidRPr="00003665" w:rsidRDefault="004E7258" w:rsidP="004E7258">
            <w:pPr>
              <w:pStyle w:val="GvdeMetni2"/>
              <w:spacing w:before="0" w:line="240" w:lineRule="auto"/>
              <w:ind w:firstLine="567"/>
              <w:rPr>
                <w:rFonts w:ascii="Times New Roman" w:hAnsi="Times New Roman"/>
                <w:noProof/>
                <w:sz w:val="24"/>
                <w:szCs w:val="24"/>
              </w:rPr>
            </w:pPr>
            <w:r w:rsidRPr="00003665">
              <w:rPr>
                <w:rFonts w:ascii="Times New Roman" w:hAnsi="Times New Roman"/>
                <w:noProof/>
                <w:sz w:val="24"/>
                <w:szCs w:val="24"/>
              </w:rPr>
              <w:t>“Şube açılması ve dışarıdan gayrimenkul değerleme hizmeti alınması</w:t>
            </w:r>
          </w:p>
          <w:p w:rsidR="007D6B50" w:rsidRPr="00003665" w:rsidRDefault="004E7258" w:rsidP="004E7258">
            <w:pPr>
              <w:ind w:firstLine="567"/>
              <w:jc w:val="both"/>
              <w:rPr>
                <w:rFonts w:ascii="Times New Roman" w:hAnsi="Times New Roman" w:cs="Times New Roman"/>
                <w:b/>
                <w:noProof/>
                <w:sz w:val="24"/>
                <w:szCs w:val="24"/>
              </w:rPr>
            </w:pPr>
            <w:r w:rsidRPr="00003665">
              <w:rPr>
                <w:rFonts w:ascii="Times New Roman" w:hAnsi="Times New Roman" w:cs="Times New Roman"/>
                <w:b/>
                <w:noProof/>
                <w:sz w:val="24"/>
                <w:szCs w:val="24"/>
              </w:rPr>
              <w:t xml:space="preserve">MADDE 11 – </w:t>
            </w:r>
            <w:r w:rsidRPr="00003665">
              <w:rPr>
                <w:rFonts w:ascii="Times New Roman" w:hAnsi="Times New Roman" w:cs="Times New Roman"/>
                <w:noProof/>
                <w:sz w:val="24"/>
                <w:szCs w:val="24"/>
              </w:rPr>
              <w:t>(1) Gayrimenkul değerleme kuruluşları, faaliyetlerini sürdürebilmek için yeterli mekan, personel ve donanıma sahip olması ve bünyesinde, bu Tebliğ uyarınca sorumlu değerleme uzmanının bulundurması gereken pay sahipliği dışındaki diğer niteliklere haiz olan bir kişinin tam zamanlı şube müdürü olarak istihdam edilmesi şartıyla, şube açabilirler.</w:t>
            </w:r>
          </w:p>
        </w:tc>
        <w:tc>
          <w:tcPr>
            <w:tcW w:w="3755" w:type="dxa"/>
          </w:tcPr>
          <w:p w:rsidR="007D6B50" w:rsidRPr="00003665" w:rsidRDefault="007D6B50" w:rsidP="00CB4543">
            <w:pPr>
              <w:pStyle w:val="Gvdemetni1"/>
              <w:widowControl w:val="0"/>
              <w:shd w:val="clear" w:color="auto" w:fill="auto"/>
              <w:tabs>
                <w:tab w:val="left" w:pos="884"/>
              </w:tabs>
              <w:spacing w:line="240" w:lineRule="auto"/>
              <w:ind w:right="23"/>
              <w:rPr>
                <w:rFonts w:ascii="Times New Roman" w:hAnsi="Times New Roman" w:cs="Times New Roman"/>
                <w:b/>
                <w:noProof/>
                <w:sz w:val="24"/>
                <w:szCs w:val="24"/>
              </w:rPr>
            </w:pPr>
          </w:p>
        </w:tc>
        <w:tc>
          <w:tcPr>
            <w:tcW w:w="3756" w:type="dxa"/>
          </w:tcPr>
          <w:p w:rsidR="007D6B50" w:rsidRPr="00003665" w:rsidRDefault="007D6B50" w:rsidP="00CB05CC">
            <w:pPr>
              <w:jc w:val="both"/>
              <w:rPr>
                <w:rFonts w:ascii="Times New Roman" w:hAnsi="Times New Roman" w:cs="Times New Roman"/>
                <w:b/>
                <w:noProof/>
                <w:sz w:val="24"/>
                <w:szCs w:val="24"/>
              </w:rPr>
            </w:pPr>
          </w:p>
        </w:tc>
      </w:tr>
      <w:tr w:rsidR="007D6B50" w:rsidRPr="00003665" w:rsidTr="00191F91">
        <w:trPr>
          <w:trHeight w:val="167"/>
        </w:trPr>
        <w:tc>
          <w:tcPr>
            <w:tcW w:w="3755" w:type="dxa"/>
          </w:tcPr>
          <w:p w:rsidR="007D6B50" w:rsidRPr="00003665" w:rsidRDefault="004E7258" w:rsidP="00003665">
            <w:pPr>
              <w:jc w:val="both"/>
              <w:rPr>
                <w:rFonts w:ascii="Times New Roman" w:hAnsi="Times New Roman" w:cs="Times New Roman"/>
                <w:noProof/>
                <w:sz w:val="24"/>
                <w:szCs w:val="24"/>
              </w:rPr>
            </w:pPr>
            <w:r w:rsidRPr="00003665">
              <w:rPr>
                <w:rFonts w:ascii="Times New Roman" w:hAnsi="Times New Roman" w:cs="Times New Roman"/>
                <w:noProof/>
                <w:sz w:val="24"/>
                <w:szCs w:val="24"/>
              </w:rPr>
              <w:lastRenderedPageBreak/>
              <w:t>(2) Şube açılması halinde, tescili takiben en geç 6 iş günü içinde Kurula bildirim yapılması zorunludur. Kurula yapılacak bildirimde, şubenin adresi, iletişim bilgileri, şubede istihdam edilecek gayrimenkul değerleme uzmanları ile diğer personelin bilgilerine yer verilir.</w:t>
            </w:r>
          </w:p>
        </w:tc>
        <w:tc>
          <w:tcPr>
            <w:tcW w:w="3756" w:type="dxa"/>
          </w:tcPr>
          <w:p w:rsidR="007D6B50" w:rsidRPr="00003665" w:rsidRDefault="004E7258" w:rsidP="00CB05CC">
            <w:pPr>
              <w:jc w:val="both"/>
              <w:rPr>
                <w:rFonts w:ascii="Times New Roman" w:hAnsi="Times New Roman" w:cs="Times New Roman"/>
                <w:b/>
                <w:noProof/>
                <w:sz w:val="24"/>
                <w:szCs w:val="24"/>
              </w:rPr>
            </w:pPr>
            <w:r w:rsidRPr="00003665">
              <w:rPr>
                <w:rFonts w:ascii="Times New Roman" w:hAnsi="Times New Roman" w:cs="Times New Roman"/>
                <w:noProof/>
                <w:sz w:val="24"/>
                <w:szCs w:val="24"/>
              </w:rPr>
              <w:t>(2) Şube açılması halinde, tescili takiben en geç 6 iş günü içinde Kurula bildirim yapılması zorunludur. Kurula yapılacak bildirimde, şubenin adresi, iletişim bilgileri, şubede istihdam edilecek gayrimenkul değerleme uzmanları ile diğer personelin bilgilerine yer verilir.</w:t>
            </w:r>
          </w:p>
        </w:tc>
        <w:tc>
          <w:tcPr>
            <w:tcW w:w="3755" w:type="dxa"/>
          </w:tcPr>
          <w:p w:rsidR="007D6B50" w:rsidRPr="00003665" w:rsidRDefault="007D6B50" w:rsidP="00CB05CC">
            <w:pPr>
              <w:jc w:val="both"/>
              <w:rPr>
                <w:rFonts w:ascii="Times New Roman" w:hAnsi="Times New Roman" w:cs="Times New Roman"/>
                <w:b/>
                <w:noProof/>
                <w:sz w:val="24"/>
                <w:szCs w:val="24"/>
              </w:rPr>
            </w:pPr>
          </w:p>
        </w:tc>
        <w:tc>
          <w:tcPr>
            <w:tcW w:w="3756" w:type="dxa"/>
          </w:tcPr>
          <w:p w:rsidR="007D6B50" w:rsidRPr="00003665" w:rsidRDefault="007D6B50" w:rsidP="00CB05CC">
            <w:pPr>
              <w:jc w:val="both"/>
              <w:rPr>
                <w:rFonts w:ascii="Times New Roman" w:hAnsi="Times New Roman" w:cs="Times New Roman"/>
                <w:b/>
                <w:noProof/>
                <w:sz w:val="24"/>
                <w:szCs w:val="24"/>
              </w:rPr>
            </w:pPr>
          </w:p>
        </w:tc>
      </w:tr>
      <w:tr w:rsidR="007D6B50" w:rsidRPr="00003665" w:rsidTr="00191F91">
        <w:trPr>
          <w:trHeight w:val="167"/>
        </w:trPr>
        <w:tc>
          <w:tcPr>
            <w:tcW w:w="3755" w:type="dxa"/>
          </w:tcPr>
          <w:p w:rsidR="007D6B50" w:rsidRPr="00003665" w:rsidRDefault="004E7258" w:rsidP="00003665">
            <w:pPr>
              <w:jc w:val="both"/>
              <w:rPr>
                <w:rFonts w:ascii="Times New Roman" w:hAnsi="Times New Roman" w:cs="Times New Roman"/>
                <w:noProof/>
                <w:sz w:val="24"/>
                <w:szCs w:val="24"/>
              </w:rPr>
            </w:pPr>
            <w:r w:rsidRPr="00003665">
              <w:rPr>
                <w:rFonts w:ascii="Times New Roman" w:hAnsi="Times New Roman" w:cs="Times New Roman"/>
                <w:noProof/>
                <w:sz w:val="24"/>
                <w:szCs w:val="24"/>
              </w:rPr>
              <w:t>(3) Sermaye piyasası mevzuatı kapsamında gerçekleştirilen değerleme faaliyetlerinde dışarıdan hizmet alınarak gayrimenkul değerleme hizmeti sağlanamaz.</w:t>
            </w:r>
          </w:p>
        </w:tc>
        <w:tc>
          <w:tcPr>
            <w:tcW w:w="3756" w:type="dxa"/>
          </w:tcPr>
          <w:p w:rsidR="007D6B50" w:rsidRPr="00003665" w:rsidRDefault="004E7258" w:rsidP="00CB05CC">
            <w:pPr>
              <w:jc w:val="both"/>
              <w:rPr>
                <w:rFonts w:ascii="Times New Roman" w:hAnsi="Times New Roman" w:cs="Times New Roman"/>
                <w:b/>
                <w:noProof/>
                <w:sz w:val="24"/>
                <w:szCs w:val="24"/>
              </w:rPr>
            </w:pPr>
            <w:r w:rsidRPr="00003665">
              <w:rPr>
                <w:rFonts w:ascii="Times New Roman" w:hAnsi="Times New Roman" w:cs="Times New Roman"/>
                <w:noProof/>
                <w:sz w:val="24"/>
                <w:szCs w:val="24"/>
              </w:rPr>
              <w:t>(3) Sermaye piyasası mevzuatı kapsamında gerçekleştirilen değerleme faaliyetlerinde dışarıdan hizmet alınarak gayrimenkul değerleme hizmeti sağlanamaz.</w:t>
            </w:r>
          </w:p>
        </w:tc>
        <w:tc>
          <w:tcPr>
            <w:tcW w:w="3755" w:type="dxa"/>
          </w:tcPr>
          <w:p w:rsidR="007D6B50" w:rsidRPr="00003665" w:rsidRDefault="007D6B50" w:rsidP="00CB05CC">
            <w:pPr>
              <w:jc w:val="both"/>
              <w:rPr>
                <w:rFonts w:ascii="Times New Roman" w:hAnsi="Times New Roman" w:cs="Times New Roman"/>
                <w:b/>
                <w:noProof/>
                <w:sz w:val="24"/>
                <w:szCs w:val="24"/>
              </w:rPr>
            </w:pPr>
          </w:p>
        </w:tc>
        <w:tc>
          <w:tcPr>
            <w:tcW w:w="3756" w:type="dxa"/>
          </w:tcPr>
          <w:p w:rsidR="007D6B50" w:rsidRPr="00003665" w:rsidRDefault="007D6B50" w:rsidP="00CB05CC">
            <w:pPr>
              <w:jc w:val="both"/>
              <w:rPr>
                <w:rFonts w:ascii="Times New Roman" w:hAnsi="Times New Roman" w:cs="Times New Roman"/>
                <w:b/>
                <w:noProof/>
                <w:sz w:val="24"/>
                <w:szCs w:val="24"/>
              </w:rPr>
            </w:pPr>
          </w:p>
        </w:tc>
      </w:tr>
      <w:tr w:rsidR="001639A2" w:rsidRPr="00003665" w:rsidTr="00191F91">
        <w:trPr>
          <w:trHeight w:val="167"/>
        </w:trPr>
        <w:tc>
          <w:tcPr>
            <w:tcW w:w="3755" w:type="dxa"/>
          </w:tcPr>
          <w:p w:rsidR="001639A2" w:rsidRPr="00003665" w:rsidRDefault="004E7258" w:rsidP="00003665">
            <w:pPr>
              <w:jc w:val="both"/>
              <w:rPr>
                <w:rFonts w:ascii="Times New Roman" w:hAnsi="Times New Roman" w:cs="Times New Roman"/>
                <w:b/>
                <w:noProof/>
                <w:sz w:val="24"/>
                <w:szCs w:val="24"/>
              </w:rPr>
            </w:pPr>
            <w:r w:rsidRPr="00003665">
              <w:rPr>
                <w:rFonts w:ascii="Times New Roman" w:hAnsi="Times New Roman" w:cs="Times New Roman"/>
                <w:noProof/>
                <w:sz w:val="24"/>
                <w:szCs w:val="24"/>
              </w:rPr>
              <w:t xml:space="preserve">(4) </w:t>
            </w:r>
            <w:r w:rsidRPr="00003665">
              <w:rPr>
                <w:rFonts w:ascii="Times New Roman" w:hAnsi="Times New Roman" w:cs="Times New Roman"/>
                <w:strike/>
                <w:noProof/>
                <w:sz w:val="24"/>
                <w:szCs w:val="24"/>
              </w:rPr>
              <w:t xml:space="preserve">Kuruluşun merkezinin veya şubesinin bulunduğu illerde, konut değerlemesi haricinde, değerleme hizmetleri kuruluşun değerleme kadrosundaki gayrimenkul değerleme uzmanları tarafından yerine getirilir. Kuruluş, bu yerlerde dışarıdan hizmet alarak, konut değerlemesi haricinde, gayrimenkul değerleme hizmeti sağlayamaz. Kurul, gayrimenkul değerleme kuruluşunun iş hacminin önemli bir bölümünü oluşturan illerde </w:t>
            </w:r>
            <w:r w:rsidRPr="00003665">
              <w:rPr>
                <w:rFonts w:ascii="Times New Roman" w:hAnsi="Times New Roman" w:cs="Times New Roman"/>
                <w:strike/>
                <w:noProof/>
                <w:sz w:val="24"/>
                <w:szCs w:val="24"/>
              </w:rPr>
              <w:lastRenderedPageBreak/>
              <w:t>gayrimenkul değerleme kuruluşuna şube açma zorunluluğu getirebilir.</w:t>
            </w:r>
          </w:p>
        </w:tc>
        <w:tc>
          <w:tcPr>
            <w:tcW w:w="3756" w:type="dxa"/>
          </w:tcPr>
          <w:p w:rsidR="001639A2" w:rsidRPr="00003665" w:rsidRDefault="004E7258" w:rsidP="00003665">
            <w:pPr>
              <w:jc w:val="both"/>
              <w:rPr>
                <w:rFonts w:ascii="Times New Roman" w:hAnsi="Times New Roman" w:cs="Times New Roman"/>
                <w:b/>
                <w:noProof/>
                <w:sz w:val="24"/>
                <w:szCs w:val="24"/>
              </w:rPr>
            </w:pPr>
            <w:r w:rsidRPr="00003665">
              <w:rPr>
                <w:rFonts w:ascii="Times New Roman" w:hAnsi="Times New Roman" w:cs="Times New Roman"/>
                <w:noProof/>
                <w:sz w:val="24"/>
                <w:szCs w:val="24"/>
              </w:rPr>
              <w:lastRenderedPageBreak/>
              <w:t xml:space="preserve">(4) </w:t>
            </w:r>
            <w:r w:rsidRPr="00003665">
              <w:rPr>
                <w:rFonts w:ascii="Times New Roman" w:hAnsi="Times New Roman" w:cs="Times New Roman"/>
                <w:noProof/>
                <w:sz w:val="24"/>
                <w:szCs w:val="24"/>
                <w:u w:val="single"/>
              </w:rPr>
              <w:t>Kuruluş, sözleşme imzalamak suretiyle dışarıdan hizmet alarak gayrimenkul değerleme hizmeti sağlayabilir. Kuruluşun, bir takvim yılı içerisinde, dışarıdan hizmet alımı yoluyla gerçekleştirdiği değerleme faaliyetlerinden kaynaklanan hasılatları, toplam hasılatlarının %25’ini geçemez</w:t>
            </w:r>
            <w:r w:rsidRPr="00003665">
              <w:rPr>
                <w:rFonts w:ascii="Times New Roman" w:hAnsi="Times New Roman" w:cs="Times New Roman"/>
                <w:noProof/>
                <w:sz w:val="24"/>
                <w:szCs w:val="24"/>
              </w:rPr>
              <w:t>.”</w:t>
            </w:r>
          </w:p>
        </w:tc>
        <w:tc>
          <w:tcPr>
            <w:tcW w:w="3755" w:type="dxa"/>
          </w:tcPr>
          <w:p w:rsidR="00CB4543" w:rsidRPr="00003665" w:rsidRDefault="00CB4543" w:rsidP="00003665">
            <w:pPr>
              <w:pStyle w:val="Gvdemetni1"/>
              <w:widowControl w:val="0"/>
              <w:shd w:val="clear" w:color="auto" w:fill="auto"/>
              <w:tabs>
                <w:tab w:val="left" w:pos="884"/>
              </w:tabs>
              <w:spacing w:before="120" w:after="120" w:line="240" w:lineRule="auto"/>
              <w:ind w:right="23"/>
              <w:rPr>
                <w:rFonts w:ascii="Times New Roman" w:hAnsi="Times New Roman" w:cs="Times New Roman"/>
                <w:sz w:val="24"/>
                <w:szCs w:val="24"/>
              </w:rPr>
            </w:pPr>
            <w:r w:rsidRPr="00003665">
              <w:rPr>
                <w:rFonts w:ascii="Times New Roman" w:hAnsi="Times New Roman" w:cs="Times New Roman"/>
                <w:sz w:val="24"/>
                <w:szCs w:val="24"/>
              </w:rPr>
              <w:t xml:space="preserve">Bu fıkranın değiştirilmesindeki amacın değerleme kuruluşun hizmet kalitesini artırmaya yönelik olduğunu düşünmekteyiz. </w:t>
            </w:r>
          </w:p>
          <w:p w:rsidR="00CB4543" w:rsidRPr="00003665" w:rsidRDefault="00CB4543" w:rsidP="00003665">
            <w:pPr>
              <w:pStyle w:val="Gvdemetni1"/>
              <w:widowControl w:val="0"/>
              <w:shd w:val="clear" w:color="auto" w:fill="auto"/>
              <w:tabs>
                <w:tab w:val="left" w:pos="884"/>
              </w:tabs>
              <w:spacing w:before="120" w:after="120" w:line="240" w:lineRule="auto"/>
              <w:ind w:right="23"/>
              <w:rPr>
                <w:rFonts w:ascii="Times New Roman" w:hAnsi="Times New Roman" w:cs="Times New Roman"/>
                <w:sz w:val="24"/>
                <w:szCs w:val="24"/>
              </w:rPr>
            </w:pPr>
            <w:r w:rsidRPr="00003665">
              <w:rPr>
                <w:rFonts w:ascii="Times New Roman" w:hAnsi="Times New Roman" w:cs="Times New Roman"/>
                <w:sz w:val="24"/>
                <w:szCs w:val="24"/>
              </w:rPr>
              <w:t>Fakat hizmet kalitesini artırmak için değerleme uzmanlarının çalışma şekli yerine deneyimlerinin ön plana çıkarılması gerektiği kanaatindeyiz.</w:t>
            </w:r>
          </w:p>
          <w:p w:rsidR="00CB4543" w:rsidRPr="00003665" w:rsidRDefault="00CB4543" w:rsidP="00003665">
            <w:pPr>
              <w:pStyle w:val="Gvdemetni1"/>
              <w:widowControl w:val="0"/>
              <w:shd w:val="clear" w:color="auto" w:fill="auto"/>
              <w:tabs>
                <w:tab w:val="left" w:pos="884"/>
              </w:tabs>
              <w:spacing w:before="120" w:after="120" w:line="240" w:lineRule="auto"/>
              <w:ind w:right="23"/>
              <w:rPr>
                <w:rFonts w:ascii="Times New Roman" w:hAnsi="Times New Roman" w:cs="Times New Roman"/>
                <w:sz w:val="24"/>
                <w:szCs w:val="24"/>
              </w:rPr>
            </w:pPr>
            <w:r w:rsidRPr="00003665">
              <w:rPr>
                <w:rFonts w:ascii="Times New Roman" w:hAnsi="Times New Roman" w:cs="Times New Roman"/>
                <w:sz w:val="24"/>
                <w:szCs w:val="24"/>
              </w:rPr>
              <w:t xml:space="preserve">Değerleme kuruluşlarının Birlik tarafından verilen 5 Yıllık Mesleki Tecrübe Belgesine sahip olan kişilerden, dışarıdan gayrimenkul </w:t>
            </w:r>
            <w:r w:rsidRPr="00003665">
              <w:rPr>
                <w:rFonts w:ascii="Times New Roman" w:hAnsi="Times New Roman" w:cs="Times New Roman"/>
                <w:sz w:val="24"/>
                <w:szCs w:val="24"/>
              </w:rPr>
              <w:lastRenderedPageBreak/>
              <w:t>değerleme hizmeti almaları kaliteyi önemli ölçüde artıracaktır. Ayrıca Birlik tarafından sözleşmeli değerleme uzmanlarının akredite edilmesine yönelik çalışmalar yapılmaktadır.</w:t>
            </w:r>
          </w:p>
          <w:p w:rsidR="00CB4543" w:rsidRPr="00003665" w:rsidRDefault="00CB4543" w:rsidP="00003665">
            <w:pPr>
              <w:pStyle w:val="Gvdemetni1"/>
              <w:widowControl w:val="0"/>
              <w:shd w:val="clear" w:color="auto" w:fill="auto"/>
              <w:tabs>
                <w:tab w:val="left" w:pos="884"/>
              </w:tabs>
              <w:spacing w:before="120" w:after="120" w:line="240" w:lineRule="auto"/>
              <w:ind w:right="23"/>
              <w:rPr>
                <w:rFonts w:ascii="Times New Roman" w:hAnsi="Times New Roman" w:cs="Times New Roman"/>
                <w:sz w:val="24"/>
                <w:szCs w:val="24"/>
              </w:rPr>
            </w:pPr>
            <w:r w:rsidRPr="00003665">
              <w:rPr>
                <w:rFonts w:ascii="Times New Roman" w:hAnsi="Times New Roman" w:cs="Times New Roman"/>
                <w:sz w:val="24"/>
                <w:szCs w:val="24"/>
              </w:rPr>
              <w:t xml:space="preserve">Değerleme uzmanlarının değerleme hizmeti verirken kadrolu ya da sözleşmeli şekilde çalışıyor olmaları değerleme faaliyetlerinin doğruluğunu artıran bir unsur değildir. </w:t>
            </w:r>
          </w:p>
          <w:p w:rsidR="00CB4543" w:rsidRPr="00003665" w:rsidRDefault="00CB4543" w:rsidP="00003665">
            <w:pPr>
              <w:pStyle w:val="Gvdemetni1"/>
              <w:widowControl w:val="0"/>
              <w:shd w:val="clear" w:color="auto" w:fill="auto"/>
              <w:tabs>
                <w:tab w:val="left" w:pos="884"/>
              </w:tabs>
              <w:spacing w:before="120" w:after="120" w:line="240" w:lineRule="auto"/>
              <w:ind w:right="23"/>
              <w:rPr>
                <w:rFonts w:ascii="Times New Roman" w:hAnsi="Times New Roman" w:cs="Times New Roman"/>
                <w:sz w:val="24"/>
                <w:szCs w:val="24"/>
              </w:rPr>
            </w:pPr>
            <w:r w:rsidRPr="00003665">
              <w:rPr>
                <w:rFonts w:ascii="Times New Roman" w:hAnsi="Times New Roman" w:cs="Times New Roman"/>
                <w:sz w:val="24"/>
                <w:szCs w:val="24"/>
              </w:rPr>
              <w:t>Hizmet kalitesinin artması için çalışma şekillerinin oranlarla sınırlandırılması yerine deneyimlerinin artırılmasının daha yararlı olacağı düşünülmektedir.</w:t>
            </w:r>
          </w:p>
          <w:p w:rsidR="001639A2" w:rsidRPr="00003665" w:rsidRDefault="00CB4543" w:rsidP="00003665">
            <w:pPr>
              <w:pStyle w:val="Gvdemetni1"/>
              <w:widowControl w:val="0"/>
              <w:shd w:val="clear" w:color="auto" w:fill="auto"/>
              <w:tabs>
                <w:tab w:val="left" w:pos="884"/>
              </w:tabs>
              <w:spacing w:before="120" w:after="120" w:line="240" w:lineRule="auto"/>
              <w:ind w:right="23"/>
              <w:rPr>
                <w:rFonts w:ascii="Times New Roman" w:hAnsi="Times New Roman" w:cs="Times New Roman"/>
                <w:b/>
                <w:noProof/>
                <w:sz w:val="24"/>
                <w:szCs w:val="24"/>
              </w:rPr>
            </w:pPr>
            <w:r w:rsidRPr="00003665">
              <w:rPr>
                <w:rFonts w:ascii="Times New Roman" w:hAnsi="Times New Roman" w:cs="Times New Roman"/>
                <w:sz w:val="24"/>
                <w:szCs w:val="24"/>
              </w:rPr>
              <w:t xml:space="preserve">Sonuç olarak daha deneyimli uzmanlardan sözleşme yolu ile hizmet alınması kuralı rapor doğruluğunu olumlu yönde etkileyecek bir </w:t>
            </w:r>
            <w:proofErr w:type="gramStart"/>
            <w:r w:rsidRPr="00003665">
              <w:rPr>
                <w:rFonts w:ascii="Times New Roman" w:hAnsi="Times New Roman" w:cs="Times New Roman"/>
                <w:sz w:val="24"/>
                <w:szCs w:val="24"/>
              </w:rPr>
              <w:t>kriter</w:t>
            </w:r>
            <w:proofErr w:type="gramEnd"/>
            <w:r w:rsidRPr="00003665">
              <w:rPr>
                <w:rFonts w:ascii="Times New Roman" w:hAnsi="Times New Roman" w:cs="Times New Roman"/>
                <w:sz w:val="24"/>
                <w:szCs w:val="24"/>
              </w:rPr>
              <w:t xml:space="preserve"> olacaktır. </w:t>
            </w:r>
          </w:p>
        </w:tc>
        <w:tc>
          <w:tcPr>
            <w:tcW w:w="3756" w:type="dxa"/>
          </w:tcPr>
          <w:p w:rsidR="00CB4543" w:rsidRPr="00003665" w:rsidRDefault="00CB4543" w:rsidP="00CB4543">
            <w:pPr>
              <w:jc w:val="both"/>
              <w:rPr>
                <w:rFonts w:ascii="Times New Roman" w:hAnsi="Times New Roman" w:cs="Times New Roman"/>
                <w:noProof/>
                <w:sz w:val="24"/>
                <w:szCs w:val="24"/>
              </w:rPr>
            </w:pPr>
            <w:r w:rsidRPr="00003665">
              <w:rPr>
                <w:rFonts w:ascii="Times New Roman" w:hAnsi="Times New Roman" w:cs="Times New Roman"/>
                <w:noProof/>
                <w:sz w:val="24"/>
                <w:szCs w:val="24"/>
              </w:rPr>
              <w:lastRenderedPageBreak/>
              <w:t xml:space="preserve">(4) Kuruluş, </w:t>
            </w:r>
            <w:r w:rsidRPr="00003665">
              <w:rPr>
                <w:rFonts w:ascii="Times New Roman" w:hAnsi="Times New Roman" w:cs="Times New Roman"/>
                <w:color w:val="FF0000"/>
                <w:sz w:val="24"/>
                <w:szCs w:val="24"/>
                <w:u w:val="single"/>
              </w:rPr>
              <w:t>yalnızca sorumlu değerleme uzmanının bulundurması gereken pay sahipliği dışındaki diğer niteliklere haiz olan kişilerden</w:t>
            </w:r>
            <w:r w:rsidRPr="00003665">
              <w:rPr>
                <w:rFonts w:ascii="Times New Roman" w:hAnsi="Times New Roman" w:cs="Times New Roman"/>
                <w:noProof/>
                <w:sz w:val="24"/>
                <w:szCs w:val="24"/>
              </w:rPr>
              <w:t xml:space="preserve"> sözleşme imzalamak suretiyle  dışarıdan hizmet alarak gayrimenkul değerleme hizmeti sağlayabilir.</w:t>
            </w:r>
          </w:p>
          <w:p w:rsidR="00CB4543" w:rsidRPr="00003665" w:rsidRDefault="00CB4543" w:rsidP="00CB4543">
            <w:pPr>
              <w:jc w:val="both"/>
              <w:rPr>
                <w:rFonts w:ascii="Times New Roman" w:hAnsi="Times New Roman" w:cs="Times New Roman"/>
                <w:noProof/>
                <w:sz w:val="24"/>
                <w:szCs w:val="24"/>
              </w:rPr>
            </w:pPr>
          </w:p>
          <w:p w:rsidR="00CB4543" w:rsidRPr="00003665" w:rsidRDefault="00CB4543" w:rsidP="00CB4543">
            <w:pPr>
              <w:pStyle w:val="Gvdemetni1"/>
              <w:widowControl w:val="0"/>
              <w:shd w:val="clear" w:color="auto" w:fill="auto"/>
              <w:tabs>
                <w:tab w:val="left" w:pos="884"/>
              </w:tabs>
              <w:spacing w:line="240" w:lineRule="auto"/>
              <w:ind w:right="23"/>
              <w:rPr>
                <w:rFonts w:ascii="Times New Roman" w:hAnsi="Times New Roman" w:cs="Times New Roman"/>
                <w:color w:val="FF0000"/>
                <w:sz w:val="24"/>
                <w:szCs w:val="24"/>
                <w:u w:val="single"/>
              </w:rPr>
            </w:pPr>
            <w:r w:rsidRPr="00003665">
              <w:rPr>
                <w:rFonts w:ascii="Times New Roman" w:hAnsi="Times New Roman" w:cs="Times New Roman"/>
                <w:color w:val="FF0000"/>
                <w:sz w:val="24"/>
                <w:szCs w:val="24"/>
                <w:u w:val="single"/>
              </w:rPr>
              <w:t xml:space="preserve">Değerleme kuruluşlarının dışarıdan aldığı değerleme hizmetini sorumlu değerleme uzmanının bulundurması gereken pay sahipliği dışındaki diğer niteliklere haiz olan kişilerden ya da bu niteliklere sahip bir kişinin tam </w:t>
            </w:r>
            <w:r w:rsidRPr="00003665">
              <w:rPr>
                <w:rFonts w:ascii="Times New Roman" w:hAnsi="Times New Roman" w:cs="Times New Roman"/>
                <w:color w:val="FF0000"/>
                <w:sz w:val="24"/>
                <w:szCs w:val="24"/>
                <w:u w:val="single"/>
              </w:rPr>
              <w:lastRenderedPageBreak/>
              <w:t>zamanlı şirket müdürü olarak istihdam edildiği tüzel kişilerden alması zorunludur.</w:t>
            </w:r>
          </w:p>
          <w:p w:rsidR="00CB4543" w:rsidRPr="00003665" w:rsidRDefault="00CB4543" w:rsidP="00CB4543">
            <w:pPr>
              <w:pStyle w:val="Gvdemetni1"/>
              <w:widowControl w:val="0"/>
              <w:shd w:val="clear" w:color="auto" w:fill="auto"/>
              <w:tabs>
                <w:tab w:val="left" w:pos="884"/>
              </w:tabs>
              <w:spacing w:line="240" w:lineRule="auto"/>
              <w:ind w:right="23"/>
              <w:rPr>
                <w:rFonts w:ascii="Times New Roman" w:hAnsi="Times New Roman" w:cs="Times New Roman"/>
                <w:color w:val="FF0000"/>
                <w:sz w:val="24"/>
                <w:szCs w:val="24"/>
                <w:u w:val="single"/>
              </w:rPr>
            </w:pPr>
          </w:p>
          <w:p w:rsidR="00CB4543" w:rsidRPr="00003665" w:rsidRDefault="00CB4543" w:rsidP="00CB4543">
            <w:pPr>
              <w:pStyle w:val="Gvdemetni1"/>
              <w:widowControl w:val="0"/>
              <w:shd w:val="clear" w:color="auto" w:fill="auto"/>
              <w:tabs>
                <w:tab w:val="left" w:pos="884"/>
              </w:tabs>
              <w:spacing w:line="240" w:lineRule="auto"/>
              <w:ind w:right="23"/>
              <w:rPr>
                <w:rFonts w:ascii="Times New Roman" w:hAnsi="Times New Roman" w:cs="Times New Roman"/>
                <w:color w:val="FF0000"/>
                <w:sz w:val="24"/>
                <w:szCs w:val="24"/>
                <w:u w:val="single"/>
              </w:rPr>
            </w:pPr>
            <w:r w:rsidRPr="00003665">
              <w:rPr>
                <w:rFonts w:ascii="Times New Roman" w:hAnsi="Times New Roman" w:cs="Times New Roman"/>
                <w:color w:val="FF0000"/>
                <w:sz w:val="24"/>
                <w:szCs w:val="24"/>
                <w:u w:val="single"/>
              </w:rPr>
              <w:t>Bu madde de yer alan tüzel kişilerin;</w:t>
            </w:r>
          </w:p>
          <w:p w:rsidR="00CB4543" w:rsidRPr="00003665" w:rsidRDefault="00CB4543" w:rsidP="00CB4543">
            <w:pPr>
              <w:pStyle w:val="Gvdemetni1"/>
              <w:widowControl w:val="0"/>
              <w:shd w:val="clear" w:color="auto" w:fill="auto"/>
              <w:tabs>
                <w:tab w:val="left" w:pos="884"/>
              </w:tabs>
              <w:spacing w:line="240" w:lineRule="auto"/>
              <w:ind w:right="23"/>
              <w:rPr>
                <w:rFonts w:ascii="Times New Roman" w:hAnsi="Times New Roman" w:cs="Times New Roman"/>
                <w:color w:val="FF0000"/>
                <w:sz w:val="24"/>
                <w:szCs w:val="24"/>
                <w:u w:val="single"/>
              </w:rPr>
            </w:pPr>
            <w:r w:rsidRPr="00003665">
              <w:rPr>
                <w:rFonts w:ascii="Times New Roman" w:hAnsi="Times New Roman" w:cs="Times New Roman"/>
                <w:color w:val="FF0000"/>
                <w:sz w:val="24"/>
                <w:szCs w:val="24"/>
                <w:u w:val="single"/>
              </w:rPr>
              <w:t>a) Anonim şirket ya da Limited Şirket olması,</w:t>
            </w:r>
          </w:p>
          <w:p w:rsidR="00CB4543" w:rsidRPr="00003665" w:rsidRDefault="00CB4543" w:rsidP="00CB4543">
            <w:pPr>
              <w:pStyle w:val="Gvdemetni1"/>
              <w:widowControl w:val="0"/>
              <w:shd w:val="clear" w:color="auto" w:fill="auto"/>
              <w:tabs>
                <w:tab w:val="left" w:pos="884"/>
              </w:tabs>
              <w:spacing w:line="240" w:lineRule="auto"/>
              <w:ind w:right="23"/>
              <w:rPr>
                <w:rFonts w:ascii="Times New Roman" w:hAnsi="Times New Roman" w:cs="Times New Roman"/>
                <w:color w:val="FF0000"/>
                <w:sz w:val="24"/>
                <w:szCs w:val="24"/>
                <w:u w:val="single"/>
              </w:rPr>
            </w:pPr>
            <w:r w:rsidRPr="00003665">
              <w:rPr>
                <w:rFonts w:ascii="Times New Roman" w:hAnsi="Times New Roman" w:cs="Times New Roman"/>
                <w:color w:val="FF0000"/>
                <w:sz w:val="24"/>
                <w:szCs w:val="24"/>
                <w:u w:val="single"/>
              </w:rPr>
              <w:t>b) Ticaret unvanında "gayrimenkul değerleme" veya "taşınmaz değerleme" ibaresinin bulunması ve bu işlerden başka bir iş ile iştigal etmemesi</w:t>
            </w:r>
          </w:p>
          <w:p w:rsidR="00CB4543" w:rsidRPr="00003665" w:rsidRDefault="00CB4543" w:rsidP="00CB4543">
            <w:pPr>
              <w:pStyle w:val="Gvdemetni1"/>
              <w:widowControl w:val="0"/>
              <w:shd w:val="clear" w:color="auto" w:fill="auto"/>
              <w:tabs>
                <w:tab w:val="left" w:pos="884"/>
              </w:tabs>
              <w:spacing w:line="240" w:lineRule="auto"/>
              <w:ind w:right="23"/>
              <w:rPr>
                <w:rFonts w:ascii="Times New Roman" w:hAnsi="Times New Roman" w:cs="Times New Roman"/>
                <w:color w:val="FF0000"/>
                <w:sz w:val="24"/>
                <w:szCs w:val="24"/>
                <w:u w:val="single"/>
              </w:rPr>
            </w:pPr>
            <w:r w:rsidRPr="00003665">
              <w:rPr>
                <w:rFonts w:ascii="Times New Roman" w:hAnsi="Times New Roman" w:cs="Times New Roman"/>
                <w:color w:val="FF0000"/>
                <w:sz w:val="24"/>
                <w:szCs w:val="24"/>
                <w:u w:val="single"/>
              </w:rPr>
              <w:t xml:space="preserve">c) Şirket ortaklarının tamamının </w:t>
            </w:r>
            <w:r w:rsidR="00EF058A" w:rsidRPr="00003665">
              <w:rPr>
                <w:rFonts w:ascii="Times New Roman" w:hAnsi="Times New Roman" w:cs="Times New Roman"/>
                <w:color w:val="FF0000"/>
                <w:sz w:val="24"/>
                <w:szCs w:val="24"/>
                <w:u w:val="single"/>
              </w:rPr>
              <w:t>Gayrimenkul Değerleme Lisansına</w:t>
            </w:r>
            <w:r w:rsidRPr="00003665">
              <w:rPr>
                <w:rFonts w:ascii="Times New Roman" w:hAnsi="Times New Roman" w:cs="Times New Roman"/>
                <w:color w:val="FF0000"/>
                <w:sz w:val="24"/>
                <w:szCs w:val="24"/>
                <w:u w:val="single"/>
              </w:rPr>
              <w:t xml:space="preserve"> sahip olması</w:t>
            </w:r>
            <w:r w:rsidR="00EF058A" w:rsidRPr="00003665">
              <w:rPr>
                <w:rFonts w:ascii="Times New Roman" w:hAnsi="Times New Roman" w:cs="Times New Roman"/>
                <w:color w:val="FF0000"/>
                <w:sz w:val="24"/>
                <w:szCs w:val="24"/>
                <w:u w:val="single"/>
              </w:rPr>
              <w:t>,</w:t>
            </w:r>
          </w:p>
          <w:p w:rsidR="00CB4543" w:rsidRPr="00003665" w:rsidRDefault="00CB4543" w:rsidP="00CB4543">
            <w:pPr>
              <w:pStyle w:val="Gvdemetni1"/>
              <w:widowControl w:val="0"/>
              <w:shd w:val="clear" w:color="auto" w:fill="auto"/>
              <w:tabs>
                <w:tab w:val="left" w:pos="884"/>
              </w:tabs>
              <w:spacing w:line="240" w:lineRule="auto"/>
              <w:ind w:right="23"/>
              <w:rPr>
                <w:rFonts w:ascii="Times New Roman" w:hAnsi="Times New Roman" w:cs="Times New Roman"/>
                <w:color w:val="FF0000"/>
                <w:sz w:val="24"/>
                <w:szCs w:val="24"/>
                <w:u w:val="single"/>
              </w:rPr>
            </w:pPr>
            <w:r w:rsidRPr="00003665">
              <w:rPr>
                <w:rFonts w:ascii="Times New Roman" w:hAnsi="Times New Roman" w:cs="Times New Roman"/>
                <w:color w:val="FF0000"/>
                <w:sz w:val="24"/>
                <w:szCs w:val="24"/>
                <w:u w:val="single"/>
              </w:rPr>
              <w:t xml:space="preserve">d) Faaliyetini sürdürebilmek için yeterli </w:t>
            </w:r>
            <w:proofErr w:type="gramStart"/>
            <w:r w:rsidRPr="00003665">
              <w:rPr>
                <w:rFonts w:ascii="Times New Roman" w:hAnsi="Times New Roman" w:cs="Times New Roman"/>
                <w:color w:val="FF0000"/>
                <w:sz w:val="24"/>
                <w:szCs w:val="24"/>
                <w:u w:val="single"/>
              </w:rPr>
              <w:t>mekan</w:t>
            </w:r>
            <w:proofErr w:type="gramEnd"/>
            <w:r w:rsidRPr="00003665">
              <w:rPr>
                <w:rFonts w:ascii="Times New Roman" w:hAnsi="Times New Roman" w:cs="Times New Roman"/>
                <w:color w:val="FF0000"/>
                <w:sz w:val="24"/>
                <w:szCs w:val="24"/>
                <w:u w:val="single"/>
              </w:rPr>
              <w:t>, organizasyon, teknik donanım, belge ve kayıt düzenine sahip olması,</w:t>
            </w:r>
          </w:p>
          <w:p w:rsidR="001639A2" w:rsidRPr="00003665" w:rsidRDefault="00CB4543" w:rsidP="00EF058A">
            <w:pPr>
              <w:pStyle w:val="Gvdemetni1"/>
              <w:widowControl w:val="0"/>
              <w:shd w:val="clear" w:color="auto" w:fill="auto"/>
              <w:tabs>
                <w:tab w:val="left" w:pos="884"/>
              </w:tabs>
              <w:spacing w:line="240" w:lineRule="auto"/>
              <w:ind w:right="23"/>
              <w:rPr>
                <w:rFonts w:ascii="Times New Roman" w:hAnsi="Times New Roman" w:cs="Times New Roman"/>
                <w:b/>
                <w:noProof/>
                <w:sz w:val="24"/>
                <w:szCs w:val="24"/>
              </w:rPr>
            </w:pPr>
            <w:r w:rsidRPr="00003665">
              <w:rPr>
                <w:rFonts w:ascii="Times New Roman" w:hAnsi="Times New Roman" w:cs="Times New Roman"/>
                <w:color w:val="FF0000"/>
                <w:sz w:val="24"/>
                <w:szCs w:val="24"/>
                <w:u w:val="single"/>
              </w:rPr>
              <w:t xml:space="preserve">e) </w:t>
            </w:r>
            <w:r w:rsidR="00EF058A" w:rsidRPr="00003665">
              <w:rPr>
                <w:rFonts w:ascii="Times New Roman" w:hAnsi="Times New Roman" w:cs="Times New Roman"/>
                <w:color w:val="FF0000"/>
                <w:sz w:val="24"/>
                <w:szCs w:val="24"/>
                <w:u w:val="single"/>
              </w:rPr>
              <w:t xml:space="preserve">Kurul </w:t>
            </w:r>
            <w:r w:rsidRPr="00003665">
              <w:rPr>
                <w:rFonts w:ascii="Times New Roman" w:hAnsi="Times New Roman" w:cs="Times New Roman"/>
                <w:color w:val="FF0000"/>
                <w:sz w:val="24"/>
                <w:szCs w:val="24"/>
                <w:u w:val="single"/>
              </w:rPr>
              <w:t xml:space="preserve">tarafından </w:t>
            </w:r>
            <w:r w:rsidR="00EF058A" w:rsidRPr="00003665">
              <w:rPr>
                <w:rFonts w:ascii="Times New Roman" w:hAnsi="Times New Roman" w:cs="Times New Roman"/>
                <w:color w:val="FF0000"/>
                <w:sz w:val="24"/>
                <w:szCs w:val="24"/>
                <w:u w:val="single"/>
              </w:rPr>
              <w:t xml:space="preserve">şart koşulacak </w:t>
            </w:r>
            <w:r w:rsidRPr="00003665">
              <w:rPr>
                <w:rFonts w:ascii="Times New Roman" w:hAnsi="Times New Roman" w:cs="Times New Roman"/>
                <w:color w:val="FF0000"/>
                <w:sz w:val="24"/>
                <w:szCs w:val="24"/>
                <w:u w:val="single"/>
              </w:rPr>
              <w:t>belgeleri Birliğe iletmeleri zorunludur.</w:t>
            </w:r>
          </w:p>
        </w:tc>
      </w:tr>
      <w:tr w:rsidR="001639A2" w:rsidRPr="00003665" w:rsidTr="00191F91">
        <w:trPr>
          <w:trHeight w:val="167"/>
        </w:trPr>
        <w:tc>
          <w:tcPr>
            <w:tcW w:w="3755" w:type="dxa"/>
          </w:tcPr>
          <w:p w:rsidR="001639A2" w:rsidRPr="00003665" w:rsidRDefault="001639A2" w:rsidP="001639A2">
            <w:pPr>
              <w:pStyle w:val="AralkYok"/>
              <w:ind w:firstLine="567"/>
              <w:jc w:val="both"/>
              <w:rPr>
                <w:rFonts w:ascii="Times New Roman" w:hAnsi="Times New Roman" w:cs="Times New Roman"/>
                <w:b/>
                <w:noProof/>
                <w:sz w:val="24"/>
                <w:szCs w:val="24"/>
              </w:rPr>
            </w:pPr>
          </w:p>
        </w:tc>
        <w:tc>
          <w:tcPr>
            <w:tcW w:w="3756" w:type="dxa"/>
          </w:tcPr>
          <w:p w:rsidR="001639A2" w:rsidRPr="00003665" w:rsidRDefault="00EF058A" w:rsidP="00191F91">
            <w:pPr>
              <w:ind w:firstLine="428"/>
              <w:jc w:val="both"/>
              <w:rPr>
                <w:rFonts w:ascii="Times New Roman" w:hAnsi="Times New Roman" w:cs="Times New Roman"/>
                <w:b/>
                <w:noProof/>
                <w:sz w:val="24"/>
                <w:szCs w:val="24"/>
              </w:rPr>
            </w:pPr>
            <w:r w:rsidRPr="00003665">
              <w:rPr>
                <w:rFonts w:ascii="Times New Roman" w:hAnsi="Times New Roman" w:cs="Times New Roman"/>
                <w:b/>
                <w:noProof/>
                <w:sz w:val="24"/>
                <w:szCs w:val="24"/>
              </w:rPr>
              <w:t xml:space="preserve">MADDE 2- </w:t>
            </w:r>
            <w:r w:rsidRPr="00003665">
              <w:rPr>
                <w:rFonts w:ascii="Times New Roman" w:hAnsi="Times New Roman" w:cs="Times New Roman"/>
                <w:noProof/>
                <w:sz w:val="24"/>
                <w:szCs w:val="24"/>
                <w:lang w:eastAsia="tr-TR"/>
              </w:rPr>
              <w:t xml:space="preserve">31/08/2019 tarih ve 30874 </w:t>
            </w:r>
            <w:r w:rsidRPr="00003665">
              <w:rPr>
                <w:rFonts w:ascii="Times New Roman" w:hAnsi="Times New Roman" w:cs="Times New Roman"/>
                <w:noProof/>
                <w:sz w:val="24"/>
                <w:szCs w:val="24"/>
              </w:rPr>
              <w:t xml:space="preserve">sayılı Resmi Gazete’de yayımlanan </w:t>
            </w:r>
            <w:r w:rsidRPr="00003665">
              <w:rPr>
                <w:rFonts w:ascii="Times New Roman" w:hAnsi="Times New Roman" w:cs="Times New Roman"/>
                <w:noProof/>
                <w:sz w:val="24"/>
                <w:szCs w:val="24"/>
                <w:lang w:eastAsia="tr-TR"/>
              </w:rPr>
              <w:t xml:space="preserve">Sermaye Piyasasında Faaliyette Bulunacak Gayrimenkul </w:t>
            </w:r>
            <w:r w:rsidRPr="00003665">
              <w:rPr>
                <w:rFonts w:ascii="Times New Roman" w:hAnsi="Times New Roman" w:cs="Times New Roman"/>
                <w:noProof/>
                <w:sz w:val="24"/>
                <w:szCs w:val="24"/>
                <w:lang w:eastAsia="tr-TR"/>
              </w:rPr>
              <w:lastRenderedPageBreak/>
              <w:t>Değerleme Kuruluşları Hakkında Tebliğ’in (III-62.3)</w:t>
            </w:r>
            <w:r w:rsidRPr="00003665">
              <w:rPr>
                <w:rFonts w:ascii="Times New Roman" w:hAnsi="Times New Roman" w:cs="Times New Roman"/>
                <w:noProof/>
                <w:sz w:val="24"/>
                <w:szCs w:val="24"/>
              </w:rPr>
              <w:t xml:space="preserve"> geçici 1 inci maddesinin dördüncü fıkrası aşağıdaki şekilde değiştirilmiştir.</w:t>
            </w:r>
          </w:p>
        </w:tc>
        <w:tc>
          <w:tcPr>
            <w:tcW w:w="3755" w:type="dxa"/>
          </w:tcPr>
          <w:p w:rsidR="001639A2" w:rsidRPr="00003665" w:rsidRDefault="001639A2" w:rsidP="001639A2">
            <w:pPr>
              <w:pStyle w:val="Gvdemetni1"/>
              <w:widowControl w:val="0"/>
              <w:shd w:val="clear" w:color="auto" w:fill="auto"/>
              <w:tabs>
                <w:tab w:val="left" w:pos="884"/>
              </w:tabs>
              <w:spacing w:line="240" w:lineRule="auto"/>
              <w:ind w:right="23"/>
              <w:rPr>
                <w:rFonts w:ascii="Times New Roman" w:hAnsi="Times New Roman" w:cs="Times New Roman"/>
                <w:b/>
                <w:noProof/>
                <w:sz w:val="24"/>
                <w:szCs w:val="24"/>
              </w:rPr>
            </w:pPr>
          </w:p>
        </w:tc>
        <w:tc>
          <w:tcPr>
            <w:tcW w:w="3756" w:type="dxa"/>
          </w:tcPr>
          <w:p w:rsidR="000736A1" w:rsidRPr="00003665" w:rsidRDefault="000736A1" w:rsidP="00CB4543">
            <w:pPr>
              <w:pStyle w:val="Gvdemetni1"/>
              <w:widowControl w:val="0"/>
              <w:shd w:val="clear" w:color="auto" w:fill="auto"/>
              <w:tabs>
                <w:tab w:val="left" w:pos="884"/>
              </w:tabs>
              <w:spacing w:line="240" w:lineRule="auto"/>
              <w:ind w:right="23"/>
              <w:rPr>
                <w:rFonts w:ascii="Times New Roman" w:hAnsi="Times New Roman" w:cs="Times New Roman"/>
                <w:b/>
                <w:noProof/>
                <w:color w:val="FF0000"/>
                <w:sz w:val="24"/>
                <w:szCs w:val="24"/>
              </w:rPr>
            </w:pPr>
          </w:p>
        </w:tc>
      </w:tr>
      <w:tr w:rsidR="00EF058A" w:rsidRPr="00003665" w:rsidTr="00191F91">
        <w:trPr>
          <w:trHeight w:val="167"/>
        </w:trPr>
        <w:tc>
          <w:tcPr>
            <w:tcW w:w="3755" w:type="dxa"/>
          </w:tcPr>
          <w:p w:rsidR="00EF058A" w:rsidRPr="00003665" w:rsidRDefault="00EF058A" w:rsidP="001639A2">
            <w:pPr>
              <w:pStyle w:val="AralkYok"/>
              <w:ind w:firstLine="567"/>
              <w:jc w:val="both"/>
              <w:rPr>
                <w:rFonts w:ascii="Times New Roman" w:hAnsi="Times New Roman" w:cs="Times New Roman"/>
                <w:b/>
                <w:noProof/>
                <w:sz w:val="24"/>
                <w:szCs w:val="24"/>
              </w:rPr>
            </w:pPr>
            <w:r w:rsidRPr="00003665">
              <w:rPr>
                <w:rFonts w:ascii="Times New Roman" w:hAnsi="Times New Roman" w:cs="Times New Roman"/>
                <w:b/>
                <w:noProof/>
                <w:sz w:val="24"/>
                <w:szCs w:val="24"/>
              </w:rPr>
              <w:lastRenderedPageBreak/>
              <w:t>GEÇİCİ MADDE 1 –</w:t>
            </w:r>
            <w:r w:rsidRPr="00003665">
              <w:rPr>
                <w:rFonts w:ascii="Times New Roman" w:hAnsi="Times New Roman" w:cs="Times New Roman"/>
                <w:bCs/>
                <w:noProof/>
                <w:sz w:val="24"/>
                <w:szCs w:val="24"/>
              </w:rPr>
              <w:t xml:space="preserve"> (1) Bu Tebliğin yayımı tarihi itibarıyla Kurulca yetkilendirilmiş veya yetkilendirilmek üzere başvurmuş gayrimenkul değerleme kuruluşları, 4 üncü maddenin birinci fıkrasının (ç) ve (e) bentleri, 8 inci maddenin üçüncü fıkrası ile 11 inci maddenin birinci fıkrasında yer alan hükümlere 1/1/2021 tarihine kadar, 11 inci maddenin üçüncü </w:t>
            </w:r>
            <w:r w:rsidRPr="00003665">
              <w:rPr>
                <w:rFonts w:ascii="Times New Roman" w:hAnsi="Times New Roman" w:cs="Times New Roman"/>
                <w:bCs/>
                <w:strike/>
                <w:noProof/>
                <w:sz w:val="24"/>
                <w:szCs w:val="24"/>
              </w:rPr>
              <w:t>ve dördüncü fıkralarında</w:t>
            </w:r>
            <w:r w:rsidRPr="00003665">
              <w:rPr>
                <w:rFonts w:ascii="Times New Roman" w:hAnsi="Times New Roman" w:cs="Times New Roman"/>
                <w:bCs/>
                <w:noProof/>
                <w:sz w:val="24"/>
                <w:szCs w:val="24"/>
              </w:rPr>
              <w:t xml:space="preserve"> yer alan hükümlere ise 1/1/2020 tarihine kadar uyum sağlamak zorundadırlar.</w:t>
            </w:r>
          </w:p>
        </w:tc>
        <w:tc>
          <w:tcPr>
            <w:tcW w:w="3756" w:type="dxa"/>
          </w:tcPr>
          <w:p w:rsidR="00EF058A" w:rsidRPr="00003665" w:rsidRDefault="00EF058A" w:rsidP="00EF058A">
            <w:pPr>
              <w:ind w:firstLine="428"/>
              <w:jc w:val="both"/>
              <w:rPr>
                <w:rFonts w:ascii="Times New Roman" w:hAnsi="Times New Roman" w:cs="Times New Roman"/>
                <w:b/>
                <w:noProof/>
                <w:sz w:val="24"/>
                <w:szCs w:val="24"/>
              </w:rPr>
            </w:pPr>
            <w:r w:rsidRPr="00003665">
              <w:rPr>
                <w:rFonts w:ascii="Times New Roman" w:hAnsi="Times New Roman" w:cs="Times New Roman"/>
                <w:b/>
                <w:noProof/>
                <w:sz w:val="24"/>
                <w:szCs w:val="24"/>
              </w:rPr>
              <w:t>“GEÇİCİ MADDE 1</w:t>
            </w:r>
            <w:r w:rsidRPr="00003665">
              <w:rPr>
                <w:rFonts w:ascii="Times New Roman" w:hAnsi="Times New Roman" w:cs="Times New Roman"/>
                <w:noProof/>
                <w:sz w:val="24"/>
                <w:szCs w:val="24"/>
              </w:rPr>
              <w:t xml:space="preserve"> –</w:t>
            </w:r>
            <w:r w:rsidRPr="00003665">
              <w:rPr>
                <w:rFonts w:ascii="Times New Roman" w:hAnsi="Times New Roman" w:cs="Times New Roman"/>
                <w:bCs/>
                <w:noProof/>
                <w:sz w:val="24"/>
                <w:szCs w:val="24"/>
              </w:rPr>
              <w:t xml:space="preserve"> (1) Bu Tebliğin yayımı tarihi itibarıyla Kurulca yetkilendirilmiş veya yetkilendirilmek üzere başvurmuş gayrimenkul değerleme kuruluşları, 4 üncü maddenin birinci fıkrasının (ç) ve (e) bentleri, 8 inci maddenin üçüncü fıkrası ile 11 inci maddenin birinci fıkrasında yer alan hükümlere 1/1/2021 tarihine kadar, 11 inci maddenin üçüncü </w:t>
            </w:r>
            <w:r w:rsidRPr="00003665">
              <w:rPr>
                <w:rFonts w:ascii="Times New Roman" w:hAnsi="Times New Roman" w:cs="Times New Roman"/>
                <w:bCs/>
                <w:noProof/>
                <w:sz w:val="24"/>
                <w:szCs w:val="24"/>
                <w:u w:val="single"/>
              </w:rPr>
              <w:t>fıkrasında</w:t>
            </w:r>
            <w:r w:rsidRPr="00003665">
              <w:rPr>
                <w:rFonts w:ascii="Times New Roman" w:hAnsi="Times New Roman" w:cs="Times New Roman"/>
                <w:bCs/>
                <w:noProof/>
                <w:sz w:val="24"/>
                <w:szCs w:val="24"/>
              </w:rPr>
              <w:t xml:space="preserve"> yer alan hükümlere ise 1/1/2020 tarihine kadar uyum sağlamak zorundadırlar.</w:t>
            </w:r>
          </w:p>
        </w:tc>
        <w:tc>
          <w:tcPr>
            <w:tcW w:w="3755" w:type="dxa"/>
          </w:tcPr>
          <w:p w:rsidR="00EF058A" w:rsidRPr="00003665" w:rsidRDefault="00EF058A" w:rsidP="00EF058A">
            <w:pPr>
              <w:spacing w:before="120" w:after="120"/>
              <w:jc w:val="both"/>
              <w:rPr>
                <w:rFonts w:ascii="Times New Roman" w:hAnsi="Times New Roman" w:cs="Times New Roman"/>
                <w:noProof/>
                <w:sz w:val="24"/>
                <w:szCs w:val="24"/>
              </w:rPr>
            </w:pPr>
            <w:r w:rsidRPr="00003665">
              <w:rPr>
                <w:rFonts w:ascii="Times New Roman" w:hAnsi="Times New Roman" w:cs="Times New Roman"/>
                <w:noProof/>
                <w:sz w:val="24"/>
                <w:szCs w:val="24"/>
              </w:rPr>
              <w:t xml:space="preserve">Bilindiği üzere Dünya Sağlık Örgütü tarafından Pandemi ilan edilen Covid-19 salgının etkileri Dünyada ve Ülkemizde oldukça yıkıcı olmuştur. </w:t>
            </w:r>
          </w:p>
          <w:p w:rsidR="00EF058A" w:rsidRPr="00003665" w:rsidRDefault="00EF058A" w:rsidP="00EF058A">
            <w:pPr>
              <w:spacing w:before="120" w:after="120"/>
              <w:jc w:val="both"/>
              <w:rPr>
                <w:rFonts w:ascii="Times New Roman" w:hAnsi="Times New Roman" w:cs="Times New Roman"/>
                <w:noProof/>
                <w:sz w:val="24"/>
                <w:szCs w:val="24"/>
              </w:rPr>
            </w:pPr>
            <w:r w:rsidRPr="00003665">
              <w:rPr>
                <w:rFonts w:ascii="Times New Roman" w:hAnsi="Times New Roman" w:cs="Times New Roman"/>
                <w:noProof/>
                <w:sz w:val="24"/>
                <w:szCs w:val="24"/>
              </w:rPr>
              <w:t>Pandemi ilan edilen Covid-19 salgını nedeniyle değerleme sektörü de mücbir sebepler yaşamaktadır.</w:t>
            </w:r>
          </w:p>
          <w:p w:rsidR="00EF058A" w:rsidRPr="00003665" w:rsidRDefault="00EF058A" w:rsidP="00EF058A">
            <w:pPr>
              <w:spacing w:before="120" w:after="120"/>
              <w:jc w:val="both"/>
              <w:rPr>
                <w:rFonts w:ascii="Times New Roman" w:hAnsi="Times New Roman" w:cs="Times New Roman"/>
                <w:noProof/>
                <w:sz w:val="24"/>
                <w:szCs w:val="24"/>
              </w:rPr>
            </w:pPr>
            <w:r w:rsidRPr="00003665">
              <w:rPr>
                <w:rFonts w:ascii="Times New Roman" w:hAnsi="Times New Roman" w:cs="Times New Roman"/>
                <w:noProof/>
                <w:sz w:val="24"/>
                <w:szCs w:val="24"/>
              </w:rPr>
              <w:t>Bu nedenle geçici maddede öngörülen intibak sürelerinin uzatılması önerilmektedir.</w:t>
            </w:r>
          </w:p>
          <w:p w:rsidR="00EF058A" w:rsidRPr="00003665" w:rsidRDefault="00EF058A" w:rsidP="00EF058A">
            <w:pPr>
              <w:pStyle w:val="Gvdemetni1"/>
              <w:widowControl w:val="0"/>
              <w:shd w:val="clear" w:color="auto" w:fill="auto"/>
              <w:tabs>
                <w:tab w:val="left" w:pos="884"/>
              </w:tabs>
              <w:spacing w:before="120" w:after="120" w:line="240" w:lineRule="auto"/>
              <w:ind w:right="23"/>
              <w:rPr>
                <w:rFonts w:ascii="Times New Roman" w:hAnsi="Times New Roman" w:cs="Times New Roman"/>
                <w:b/>
                <w:noProof/>
                <w:sz w:val="24"/>
                <w:szCs w:val="24"/>
              </w:rPr>
            </w:pPr>
            <w:r w:rsidRPr="00003665">
              <w:rPr>
                <w:rFonts w:ascii="Times New Roman" w:hAnsi="Times New Roman" w:cs="Times New Roman"/>
                <w:noProof/>
                <w:sz w:val="24"/>
                <w:szCs w:val="24"/>
              </w:rPr>
              <w:t>Ayrıca 11.Maddenin 4.fıkrası için Birlik tarafından önerilen şekilde bir düzenleme yapılması halinde kanunda büyük şehir şeklinde tanımlanan illerde 31.12.2020, diğer illerde ise 31.12.2021 tarihine kadar intibak süresi verilmesinin yararlı olacağı düşünülmektedir.</w:t>
            </w:r>
          </w:p>
        </w:tc>
        <w:tc>
          <w:tcPr>
            <w:tcW w:w="3756" w:type="dxa"/>
          </w:tcPr>
          <w:p w:rsidR="00EF058A" w:rsidRPr="00003665" w:rsidRDefault="00EF058A" w:rsidP="00CB4543">
            <w:pPr>
              <w:pStyle w:val="Gvdemetni1"/>
              <w:widowControl w:val="0"/>
              <w:shd w:val="clear" w:color="auto" w:fill="auto"/>
              <w:tabs>
                <w:tab w:val="left" w:pos="884"/>
              </w:tabs>
              <w:spacing w:line="240" w:lineRule="auto"/>
              <w:ind w:right="23"/>
              <w:rPr>
                <w:rFonts w:ascii="Times New Roman" w:hAnsi="Times New Roman" w:cs="Times New Roman"/>
                <w:b/>
                <w:noProof/>
                <w:color w:val="FF0000"/>
                <w:sz w:val="24"/>
                <w:szCs w:val="24"/>
              </w:rPr>
            </w:pPr>
            <w:r w:rsidRPr="00003665">
              <w:rPr>
                <w:rFonts w:ascii="Times New Roman" w:hAnsi="Times New Roman" w:cs="Times New Roman"/>
                <w:b/>
                <w:noProof/>
                <w:sz w:val="24"/>
                <w:szCs w:val="24"/>
              </w:rPr>
              <w:t>GEÇİCİ MADDE 1</w:t>
            </w:r>
            <w:r w:rsidRPr="00003665">
              <w:rPr>
                <w:rFonts w:ascii="Times New Roman" w:hAnsi="Times New Roman" w:cs="Times New Roman"/>
                <w:noProof/>
                <w:sz w:val="24"/>
                <w:szCs w:val="24"/>
              </w:rPr>
              <w:t xml:space="preserve"> –</w:t>
            </w:r>
            <w:r w:rsidRPr="00003665">
              <w:rPr>
                <w:rFonts w:ascii="Times New Roman" w:hAnsi="Times New Roman" w:cs="Times New Roman"/>
                <w:bCs/>
                <w:noProof/>
                <w:sz w:val="24"/>
                <w:szCs w:val="24"/>
              </w:rPr>
              <w:t xml:space="preserve"> (1) Bu Tebliğin yayımı tarihi itibarıyla Kurulca yetkilendirilmiş veya yetkilendirilmek üzere başvurmuş gayrimenkul değerleme kuruluşları, 4 üncü maddenin birinci fıkrasının (ç) ve (e) bentleri, 8 inci maddenin üçüncü fıkrası ile 11 inci maddenin birinci fıkrasında yer alan hükümlere </w:t>
            </w:r>
            <w:r w:rsidRPr="00003665">
              <w:rPr>
                <w:rFonts w:ascii="Times New Roman" w:hAnsi="Times New Roman" w:cs="Times New Roman"/>
                <w:bCs/>
                <w:strike/>
                <w:noProof/>
                <w:color w:val="FF0000"/>
                <w:sz w:val="24"/>
                <w:szCs w:val="24"/>
              </w:rPr>
              <w:t>1/1/2021</w:t>
            </w:r>
            <w:r w:rsidRPr="00003665">
              <w:rPr>
                <w:rFonts w:ascii="Times New Roman" w:hAnsi="Times New Roman" w:cs="Times New Roman"/>
                <w:bCs/>
                <w:noProof/>
                <w:color w:val="FF0000"/>
                <w:sz w:val="24"/>
                <w:szCs w:val="24"/>
              </w:rPr>
              <w:t xml:space="preserve"> </w:t>
            </w:r>
            <w:r w:rsidRPr="00003665">
              <w:rPr>
                <w:rFonts w:ascii="Times New Roman" w:hAnsi="Times New Roman" w:cs="Times New Roman"/>
                <w:bCs/>
                <w:noProof/>
                <w:color w:val="FF0000"/>
                <w:sz w:val="24"/>
                <w:szCs w:val="24"/>
                <w:u w:val="single"/>
              </w:rPr>
              <w:t>31/12/2021</w:t>
            </w:r>
            <w:r w:rsidRPr="00003665">
              <w:rPr>
                <w:rFonts w:ascii="Times New Roman" w:hAnsi="Times New Roman" w:cs="Times New Roman"/>
                <w:bCs/>
                <w:noProof/>
                <w:color w:val="FF0000"/>
                <w:sz w:val="24"/>
                <w:szCs w:val="24"/>
              </w:rPr>
              <w:t xml:space="preserve"> </w:t>
            </w:r>
            <w:r w:rsidRPr="00003665">
              <w:rPr>
                <w:rFonts w:ascii="Times New Roman" w:hAnsi="Times New Roman" w:cs="Times New Roman"/>
                <w:bCs/>
                <w:noProof/>
                <w:sz w:val="24"/>
                <w:szCs w:val="24"/>
              </w:rPr>
              <w:t xml:space="preserve">tarihine kadar, 11 inci maddenin üçüncü </w:t>
            </w:r>
            <w:r w:rsidRPr="00003665">
              <w:rPr>
                <w:rFonts w:ascii="Times New Roman" w:hAnsi="Times New Roman" w:cs="Times New Roman"/>
                <w:bCs/>
                <w:strike/>
                <w:noProof/>
                <w:color w:val="FF0000"/>
                <w:sz w:val="24"/>
                <w:szCs w:val="24"/>
              </w:rPr>
              <w:t>fıkrasında</w:t>
            </w:r>
            <w:r w:rsidRPr="00003665">
              <w:rPr>
                <w:rFonts w:ascii="Times New Roman" w:hAnsi="Times New Roman" w:cs="Times New Roman"/>
                <w:bCs/>
                <w:noProof/>
                <w:color w:val="FF0000"/>
                <w:sz w:val="24"/>
                <w:szCs w:val="24"/>
                <w:u w:val="single"/>
              </w:rPr>
              <w:t xml:space="preserve"> ve dördüncü fıkralarında</w:t>
            </w:r>
            <w:r w:rsidRPr="00003665">
              <w:rPr>
                <w:rFonts w:ascii="Times New Roman" w:hAnsi="Times New Roman" w:cs="Times New Roman"/>
                <w:bCs/>
                <w:noProof/>
                <w:sz w:val="24"/>
                <w:szCs w:val="24"/>
              </w:rPr>
              <w:t xml:space="preserve"> yer alan hükümlere </w:t>
            </w:r>
            <w:r w:rsidRPr="00003665">
              <w:rPr>
                <w:rFonts w:ascii="Times New Roman" w:hAnsi="Times New Roman" w:cs="Times New Roman"/>
                <w:bCs/>
                <w:strike/>
                <w:noProof/>
                <w:color w:val="FF0000"/>
                <w:sz w:val="24"/>
                <w:szCs w:val="24"/>
              </w:rPr>
              <w:t>ise 1/1/2020</w:t>
            </w:r>
            <w:r w:rsidRPr="00003665">
              <w:rPr>
                <w:rFonts w:ascii="Times New Roman" w:hAnsi="Times New Roman" w:cs="Times New Roman"/>
                <w:bCs/>
                <w:noProof/>
                <w:color w:val="FF0000"/>
                <w:sz w:val="24"/>
                <w:szCs w:val="24"/>
              </w:rPr>
              <w:t xml:space="preserve"> </w:t>
            </w:r>
            <w:r w:rsidRPr="00003665">
              <w:rPr>
                <w:rFonts w:ascii="Times New Roman" w:hAnsi="Times New Roman" w:cs="Times New Roman"/>
                <w:bCs/>
                <w:noProof/>
                <w:color w:val="FF0000"/>
                <w:sz w:val="24"/>
                <w:szCs w:val="24"/>
                <w:u w:val="single"/>
              </w:rPr>
              <w:t>Kanunda Büyük Şehir olara</w:t>
            </w:r>
            <w:r w:rsidR="00082180">
              <w:rPr>
                <w:rFonts w:ascii="Times New Roman" w:hAnsi="Times New Roman" w:cs="Times New Roman"/>
                <w:bCs/>
                <w:noProof/>
                <w:color w:val="FF0000"/>
                <w:sz w:val="24"/>
                <w:szCs w:val="24"/>
                <w:u w:val="single"/>
              </w:rPr>
              <w:t>k belirlenmiş İllerde 31/12/2021 diğer İllerde ise 31/12/2022</w:t>
            </w:r>
            <w:bookmarkStart w:id="0" w:name="_GoBack"/>
            <w:bookmarkEnd w:id="0"/>
            <w:r w:rsidRPr="00003665">
              <w:rPr>
                <w:rFonts w:ascii="Times New Roman" w:hAnsi="Times New Roman" w:cs="Times New Roman"/>
                <w:bCs/>
                <w:noProof/>
                <w:color w:val="FF0000"/>
                <w:sz w:val="24"/>
                <w:szCs w:val="24"/>
              </w:rPr>
              <w:t xml:space="preserve"> </w:t>
            </w:r>
            <w:r w:rsidRPr="00003665">
              <w:rPr>
                <w:rFonts w:ascii="Times New Roman" w:hAnsi="Times New Roman" w:cs="Times New Roman"/>
                <w:bCs/>
                <w:noProof/>
                <w:sz w:val="24"/>
                <w:szCs w:val="24"/>
              </w:rPr>
              <w:t>tarihine kadar uyum sağlamak zorundadırlar.</w:t>
            </w:r>
          </w:p>
        </w:tc>
      </w:tr>
      <w:tr w:rsidR="00EF058A" w:rsidRPr="00003665" w:rsidTr="00191F91">
        <w:trPr>
          <w:trHeight w:val="167"/>
        </w:trPr>
        <w:tc>
          <w:tcPr>
            <w:tcW w:w="3755" w:type="dxa"/>
          </w:tcPr>
          <w:p w:rsidR="00EF058A" w:rsidRPr="00003665" w:rsidRDefault="00EF058A" w:rsidP="00EF058A">
            <w:pPr>
              <w:pStyle w:val="GvdeMetni2"/>
              <w:spacing w:before="0" w:line="240" w:lineRule="auto"/>
              <w:ind w:firstLine="567"/>
              <w:rPr>
                <w:rFonts w:ascii="Times New Roman" w:hAnsi="Times New Roman"/>
                <w:b w:val="0"/>
                <w:noProof/>
                <w:sz w:val="24"/>
                <w:szCs w:val="24"/>
              </w:rPr>
            </w:pPr>
            <w:r w:rsidRPr="00003665">
              <w:rPr>
                <w:rFonts w:ascii="Times New Roman" w:hAnsi="Times New Roman"/>
                <w:b w:val="0"/>
                <w:bCs/>
                <w:noProof/>
                <w:sz w:val="24"/>
                <w:szCs w:val="24"/>
              </w:rPr>
              <w:t xml:space="preserve">(2) Bu Tebliğin yayımı tarihi itibarıyla Kurulca yetkilendirilmiş veya yetkilendirilmek üzere Kurula </w:t>
            </w:r>
            <w:r w:rsidRPr="00003665">
              <w:rPr>
                <w:rFonts w:ascii="Times New Roman" w:hAnsi="Times New Roman"/>
                <w:b w:val="0"/>
                <w:bCs/>
                <w:noProof/>
                <w:sz w:val="24"/>
                <w:szCs w:val="24"/>
              </w:rPr>
              <w:lastRenderedPageBreak/>
              <w:t>başvurmuş gayrimenkul değerleme kuruluşları, 17 nci maddenin ikinci fıkrasının (ç) bendinde belirtilen %40’lık oranın hesaplanmasına 1/1/2020 tarihi itibarıyla başlamak ve anılan hükme 31/12/2024 tarihi itibarıyla uyum sağlamak zorundadırlar.</w:t>
            </w:r>
          </w:p>
        </w:tc>
        <w:tc>
          <w:tcPr>
            <w:tcW w:w="3756" w:type="dxa"/>
          </w:tcPr>
          <w:p w:rsidR="00EF058A" w:rsidRPr="00003665" w:rsidRDefault="00EF058A" w:rsidP="00EF058A">
            <w:pPr>
              <w:pStyle w:val="GvdeMetni2"/>
              <w:spacing w:before="0" w:line="240" w:lineRule="auto"/>
              <w:ind w:firstLine="567"/>
              <w:rPr>
                <w:rFonts w:ascii="Times New Roman" w:hAnsi="Times New Roman"/>
                <w:b w:val="0"/>
                <w:noProof/>
                <w:sz w:val="24"/>
                <w:szCs w:val="24"/>
              </w:rPr>
            </w:pPr>
            <w:r w:rsidRPr="00003665">
              <w:rPr>
                <w:rFonts w:ascii="Times New Roman" w:hAnsi="Times New Roman"/>
                <w:b w:val="0"/>
                <w:bCs/>
                <w:noProof/>
                <w:sz w:val="24"/>
                <w:szCs w:val="24"/>
                <w:u w:val="single"/>
              </w:rPr>
              <w:lastRenderedPageBreak/>
              <w:t>(2)</w:t>
            </w:r>
            <w:r w:rsidRPr="00003665">
              <w:rPr>
                <w:rFonts w:ascii="Times New Roman" w:eastAsia="Calibri" w:hAnsi="Times New Roman"/>
                <w:b w:val="0"/>
                <w:noProof/>
                <w:sz w:val="24"/>
                <w:szCs w:val="24"/>
                <w:u w:val="single"/>
              </w:rPr>
              <w:t xml:space="preserve"> Tebliğin 11 inci maddesinin dördüncü fıkrasında belirtilen %25’lik oranın </w:t>
            </w:r>
            <w:r w:rsidRPr="00003665">
              <w:rPr>
                <w:rFonts w:ascii="Times New Roman" w:eastAsia="Calibri" w:hAnsi="Times New Roman"/>
                <w:b w:val="0"/>
                <w:noProof/>
                <w:sz w:val="24"/>
                <w:szCs w:val="24"/>
                <w:u w:val="single"/>
              </w:rPr>
              <w:lastRenderedPageBreak/>
              <w:t>uygulanması kademeli olarak %60, %40 ve nihai olarak %25 olarak gerçekleştirilir. Buna göre, Kurulca yetkilendirilmiş veya yetkilendirilmek üzere Kurula başvurmuş gayrimenkul değerleme kuruluşları, %60’lık oranın hesaplanmasına 1/1/2021 tarihi itibariyle başlamak ve anılan hükme 31/12/2021 tarihi itibariyle uyum sağlamak, %40’lık oranın hesaplanmasına 1/1/2022 tarihi itibariyle başlamak ve anılan hükme 31/12/2022 tarihi itibariyle uyum sağlamak ve son olarak %25’lik oranın hesaplanmasına 1/1/2023 tarihi itibariyle başlamak ve anılan hükme 31/12/2023 tarihi itibariyle uyum sağlamak zorundadırlar.</w:t>
            </w:r>
          </w:p>
        </w:tc>
        <w:tc>
          <w:tcPr>
            <w:tcW w:w="3755" w:type="dxa"/>
          </w:tcPr>
          <w:p w:rsidR="00EF058A" w:rsidRPr="00003665" w:rsidRDefault="00EF058A" w:rsidP="001639A2">
            <w:pPr>
              <w:pStyle w:val="Gvdemetni1"/>
              <w:widowControl w:val="0"/>
              <w:shd w:val="clear" w:color="auto" w:fill="auto"/>
              <w:tabs>
                <w:tab w:val="left" w:pos="884"/>
              </w:tabs>
              <w:spacing w:line="240" w:lineRule="auto"/>
              <w:ind w:right="23"/>
              <w:rPr>
                <w:rFonts w:ascii="Times New Roman" w:hAnsi="Times New Roman" w:cs="Times New Roman"/>
                <w:b/>
                <w:noProof/>
                <w:sz w:val="24"/>
                <w:szCs w:val="24"/>
              </w:rPr>
            </w:pPr>
          </w:p>
        </w:tc>
        <w:tc>
          <w:tcPr>
            <w:tcW w:w="3756" w:type="dxa"/>
          </w:tcPr>
          <w:p w:rsidR="00EF058A" w:rsidRPr="00003665" w:rsidRDefault="00EF058A" w:rsidP="00CB4543">
            <w:pPr>
              <w:pStyle w:val="Gvdemetni1"/>
              <w:widowControl w:val="0"/>
              <w:shd w:val="clear" w:color="auto" w:fill="auto"/>
              <w:tabs>
                <w:tab w:val="left" w:pos="884"/>
              </w:tabs>
              <w:spacing w:line="240" w:lineRule="auto"/>
              <w:ind w:right="23"/>
              <w:rPr>
                <w:rFonts w:ascii="Times New Roman" w:hAnsi="Times New Roman" w:cs="Times New Roman"/>
                <w:b/>
                <w:noProof/>
                <w:sz w:val="24"/>
                <w:szCs w:val="24"/>
              </w:rPr>
            </w:pPr>
          </w:p>
        </w:tc>
      </w:tr>
      <w:tr w:rsidR="00EF058A" w:rsidRPr="00003665" w:rsidTr="00191F91">
        <w:trPr>
          <w:trHeight w:val="167"/>
        </w:trPr>
        <w:tc>
          <w:tcPr>
            <w:tcW w:w="3755" w:type="dxa"/>
          </w:tcPr>
          <w:p w:rsidR="00EF058A" w:rsidRPr="00003665" w:rsidRDefault="00EF058A" w:rsidP="00EF058A">
            <w:pPr>
              <w:pStyle w:val="GvdeMetni2"/>
              <w:spacing w:before="0" w:line="240" w:lineRule="auto"/>
              <w:ind w:firstLine="567"/>
              <w:rPr>
                <w:rFonts w:ascii="Times New Roman" w:hAnsi="Times New Roman"/>
                <w:b w:val="0"/>
                <w:bCs/>
                <w:noProof/>
                <w:sz w:val="24"/>
                <w:szCs w:val="24"/>
              </w:rPr>
            </w:pPr>
            <w:r w:rsidRPr="00003665">
              <w:rPr>
                <w:rFonts w:ascii="Times New Roman" w:hAnsi="Times New Roman"/>
                <w:b w:val="0"/>
                <w:bCs/>
                <w:noProof/>
                <w:sz w:val="24"/>
                <w:szCs w:val="24"/>
              </w:rPr>
              <w:lastRenderedPageBreak/>
              <w:t xml:space="preserve">(3) Kurulca yetkilendirilmiş gayrimenkul değerleme kuruluşlarının, geçici 2 nci madde hükmü saklı kalmak üzere, </w:t>
            </w:r>
            <w:r w:rsidRPr="00003665">
              <w:rPr>
                <w:rFonts w:ascii="Times New Roman" w:hAnsi="Times New Roman"/>
                <w:b w:val="0"/>
                <w:bCs/>
                <w:strike/>
                <w:noProof/>
                <w:sz w:val="24"/>
                <w:szCs w:val="24"/>
              </w:rPr>
              <w:t>birinci ve ikinci</w:t>
            </w:r>
            <w:r w:rsidRPr="00003665">
              <w:rPr>
                <w:rFonts w:ascii="Times New Roman" w:hAnsi="Times New Roman"/>
                <w:b w:val="0"/>
                <w:bCs/>
                <w:noProof/>
                <w:sz w:val="24"/>
                <w:szCs w:val="24"/>
              </w:rPr>
              <w:t xml:space="preserve"> fıkralar kapsamında belirtilen hükümlere uyum sağlayamamaları halinde, </w:t>
            </w:r>
            <w:r w:rsidRPr="00003665">
              <w:rPr>
                <w:rFonts w:ascii="Times New Roman" w:hAnsi="Times New Roman"/>
                <w:b w:val="0"/>
                <w:noProof/>
                <w:sz w:val="24"/>
                <w:szCs w:val="24"/>
              </w:rPr>
              <w:t>Kurul tarafından yetkileri iptal edilir.</w:t>
            </w:r>
          </w:p>
        </w:tc>
        <w:tc>
          <w:tcPr>
            <w:tcW w:w="3756" w:type="dxa"/>
          </w:tcPr>
          <w:p w:rsidR="00EF058A" w:rsidRPr="00003665" w:rsidRDefault="00EF058A" w:rsidP="00EF058A">
            <w:pPr>
              <w:pStyle w:val="GvdeMetni2"/>
              <w:spacing w:before="0" w:line="240" w:lineRule="auto"/>
              <w:ind w:firstLine="567"/>
              <w:rPr>
                <w:rFonts w:ascii="Times New Roman" w:hAnsi="Times New Roman"/>
                <w:b w:val="0"/>
                <w:bCs/>
                <w:noProof/>
                <w:sz w:val="24"/>
                <w:szCs w:val="24"/>
                <w:u w:val="single"/>
              </w:rPr>
            </w:pPr>
            <w:r w:rsidRPr="00003665">
              <w:rPr>
                <w:rFonts w:ascii="Times New Roman" w:hAnsi="Times New Roman"/>
                <w:b w:val="0"/>
                <w:bCs/>
                <w:noProof/>
                <w:sz w:val="24"/>
                <w:szCs w:val="24"/>
              </w:rPr>
              <w:t xml:space="preserve">(3) Bu Tebliğin yayımı tarihi itibarıyla Kurulca yetkilendirilmiş veya yetkilendirilmek üzere Kurula başvurmuş gayrimenkul değerleme kuruluşları, 17 nci maddenin ikinci fıkrasının (ç) bendinde belirtilen %40’lık oranın hesaplanmasına 1/1/2020 tarihi itibarıyla başlamak ve anılan hükme 31/12/2024 tarihi </w:t>
            </w:r>
            <w:r w:rsidRPr="00003665">
              <w:rPr>
                <w:rFonts w:ascii="Times New Roman" w:hAnsi="Times New Roman"/>
                <w:b w:val="0"/>
                <w:bCs/>
                <w:noProof/>
                <w:sz w:val="24"/>
                <w:szCs w:val="24"/>
              </w:rPr>
              <w:lastRenderedPageBreak/>
              <w:t>itibarıyla uyum sağlamak zorundadırlar.</w:t>
            </w:r>
          </w:p>
        </w:tc>
        <w:tc>
          <w:tcPr>
            <w:tcW w:w="3755" w:type="dxa"/>
          </w:tcPr>
          <w:p w:rsidR="00EF058A" w:rsidRPr="00003665" w:rsidRDefault="00EF058A" w:rsidP="001639A2">
            <w:pPr>
              <w:pStyle w:val="Gvdemetni1"/>
              <w:widowControl w:val="0"/>
              <w:shd w:val="clear" w:color="auto" w:fill="auto"/>
              <w:tabs>
                <w:tab w:val="left" w:pos="884"/>
              </w:tabs>
              <w:spacing w:line="240" w:lineRule="auto"/>
              <w:ind w:right="23"/>
              <w:rPr>
                <w:rFonts w:ascii="Times New Roman" w:hAnsi="Times New Roman" w:cs="Times New Roman"/>
                <w:b/>
                <w:noProof/>
                <w:sz w:val="24"/>
                <w:szCs w:val="24"/>
              </w:rPr>
            </w:pPr>
          </w:p>
        </w:tc>
        <w:tc>
          <w:tcPr>
            <w:tcW w:w="3756" w:type="dxa"/>
          </w:tcPr>
          <w:p w:rsidR="00EF058A" w:rsidRPr="00003665" w:rsidRDefault="00EF058A" w:rsidP="00CB4543">
            <w:pPr>
              <w:pStyle w:val="Gvdemetni1"/>
              <w:widowControl w:val="0"/>
              <w:shd w:val="clear" w:color="auto" w:fill="auto"/>
              <w:tabs>
                <w:tab w:val="left" w:pos="884"/>
              </w:tabs>
              <w:spacing w:line="240" w:lineRule="auto"/>
              <w:ind w:right="23"/>
              <w:rPr>
                <w:rFonts w:ascii="Times New Roman" w:hAnsi="Times New Roman" w:cs="Times New Roman"/>
                <w:b/>
                <w:noProof/>
                <w:sz w:val="24"/>
                <w:szCs w:val="24"/>
              </w:rPr>
            </w:pPr>
          </w:p>
        </w:tc>
      </w:tr>
      <w:tr w:rsidR="00EF058A" w:rsidRPr="00003665" w:rsidTr="00191F91">
        <w:trPr>
          <w:trHeight w:val="167"/>
        </w:trPr>
        <w:tc>
          <w:tcPr>
            <w:tcW w:w="3755" w:type="dxa"/>
          </w:tcPr>
          <w:p w:rsidR="00EF058A" w:rsidRPr="00003665" w:rsidRDefault="00EF058A" w:rsidP="00EF058A">
            <w:pPr>
              <w:pStyle w:val="GvdeMetni2"/>
              <w:spacing w:before="0" w:line="240" w:lineRule="auto"/>
              <w:ind w:firstLine="567"/>
              <w:rPr>
                <w:rFonts w:ascii="Times New Roman" w:hAnsi="Times New Roman"/>
                <w:b w:val="0"/>
                <w:bCs/>
                <w:noProof/>
                <w:sz w:val="24"/>
                <w:szCs w:val="24"/>
              </w:rPr>
            </w:pPr>
          </w:p>
        </w:tc>
        <w:tc>
          <w:tcPr>
            <w:tcW w:w="3756" w:type="dxa"/>
          </w:tcPr>
          <w:p w:rsidR="00EF058A" w:rsidRPr="00003665" w:rsidRDefault="00EF058A" w:rsidP="00EF058A">
            <w:pPr>
              <w:ind w:firstLine="567"/>
              <w:jc w:val="both"/>
              <w:rPr>
                <w:rFonts w:ascii="Times New Roman" w:hAnsi="Times New Roman" w:cs="Times New Roman"/>
                <w:b/>
                <w:bCs/>
                <w:noProof/>
                <w:sz w:val="24"/>
                <w:szCs w:val="24"/>
              </w:rPr>
            </w:pPr>
            <w:r w:rsidRPr="00003665">
              <w:rPr>
                <w:rFonts w:ascii="Times New Roman" w:hAnsi="Times New Roman" w:cs="Times New Roman"/>
                <w:bCs/>
                <w:noProof/>
                <w:sz w:val="24"/>
                <w:szCs w:val="24"/>
              </w:rPr>
              <w:t xml:space="preserve">(4) Kurulca yetkilendirilmiş gayrimenkul değerleme kuruluşlarının, geçici 2 nci madde hükmü saklı kalmak üzere, </w:t>
            </w:r>
            <w:r w:rsidRPr="00003665">
              <w:rPr>
                <w:rFonts w:ascii="Times New Roman" w:hAnsi="Times New Roman" w:cs="Times New Roman"/>
                <w:bCs/>
                <w:noProof/>
                <w:sz w:val="24"/>
                <w:szCs w:val="24"/>
                <w:u w:val="single"/>
              </w:rPr>
              <w:t>birinci, ikinci ve üçüncü</w:t>
            </w:r>
            <w:r w:rsidRPr="00003665">
              <w:rPr>
                <w:rFonts w:ascii="Times New Roman" w:hAnsi="Times New Roman" w:cs="Times New Roman"/>
                <w:bCs/>
                <w:noProof/>
                <w:sz w:val="24"/>
                <w:szCs w:val="24"/>
              </w:rPr>
              <w:t xml:space="preserve"> fıkralar kapsamında belirtilen hükümlere uyum sağlayamamaları halinde, </w:t>
            </w:r>
            <w:r w:rsidRPr="00003665">
              <w:rPr>
                <w:rFonts w:ascii="Times New Roman" w:hAnsi="Times New Roman" w:cs="Times New Roman"/>
                <w:noProof/>
                <w:sz w:val="24"/>
                <w:szCs w:val="24"/>
              </w:rPr>
              <w:t>Kurul tarafından yetkileri iptal edilir.”</w:t>
            </w:r>
          </w:p>
        </w:tc>
        <w:tc>
          <w:tcPr>
            <w:tcW w:w="3755" w:type="dxa"/>
          </w:tcPr>
          <w:p w:rsidR="00EF058A" w:rsidRPr="00003665" w:rsidRDefault="00EF058A" w:rsidP="001639A2">
            <w:pPr>
              <w:pStyle w:val="Gvdemetni1"/>
              <w:widowControl w:val="0"/>
              <w:shd w:val="clear" w:color="auto" w:fill="auto"/>
              <w:tabs>
                <w:tab w:val="left" w:pos="884"/>
              </w:tabs>
              <w:spacing w:line="240" w:lineRule="auto"/>
              <w:ind w:right="23"/>
              <w:rPr>
                <w:rFonts w:ascii="Times New Roman" w:hAnsi="Times New Roman" w:cs="Times New Roman"/>
                <w:b/>
                <w:noProof/>
                <w:sz w:val="24"/>
                <w:szCs w:val="24"/>
              </w:rPr>
            </w:pPr>
          </w:p>
        </w:tc>
        <w:tc>
          <w:tcPr>
            <w:tcW w:w="3756" w:type="dxa"/>
          </w:tcPr>
          <w:p w:rsidR="00EF058A" w:rsidRPr="00003665" w:rsidRDefault="00EF058A" w:rsidP="00CB4543">
            <w:pPr>
              <w:pStyle w:val="Gvdemetni1"/>
              <w:widowControl w:val="0"/>
              <w:shd w:val="clear" w:color="auto" w:fill="auto"/>
              <w:tabs>
                <w:tab w:val="left" w:pos="884"/>
              </w:tabs>
              <w:spacing w:line="240" w:lineRule="auto"/>
              <w:ind w:right="23"/>
              <w:rPr>
                <w:rFonts w:ascii="Times New Roman" w:hAnsi="Times New Roman" w:cs="Times New Roman"/>
                <w:b/>
                <w:noProof/>
                <w:sz w:val="24"/>
                <w:szCs w:val="24"/>
              </w:rPr>
            </w:pPr>
          </w:p>
        </w:tc>
      </w:tr>
      <w:tr w:rsidR="00EF058A" w:rsidRPr="00003665" w:rsidTr="00191F91">
        <w:trPr>
          <w:trHeight w:val="167"/>
        </w:trPr>
        <w:tc>
          <w:tcPr>
            <w:tcW w:w="3755" w:type="dxa"/>
          </w:tcPr>
          <w:p w:rsidR="00EF058A" w:rsidRPr="00003665" w:rsidRDefault="00EF058A" w:rsidP="00EF058A">
            <w:pPr>
              <w:pStyle w:val="GvdeMetni2"/>
              <w:spacing w:before="0" w:line="240" w:lineRule="auto"/>
              <w:ind w:firstLine="567"/>
              <w:rPr>
                <w:rFonts w:ascii="Times New Roman" w:hAnsi="Times New Roman"/>
                <w:b w:val="0"/>
                <w:bCs/>
                <w:noProof/>
                <w:sz w:val="24"/>
                <w:szCs w:val="24"/>
              </w:rPr>
            </w:pPr>
          </w:p>
        </w:tc>
        <w:tc>
          <w:tcPr>
            <w:tcW w:w="3756" w:type="dxa"/>
          </w:tcPr>
          <w:p w:rsidR="00EF058A" w:rsidRPr="00003665" w:rsidRDefault="00EF058A" w:rsidP="00EF058A">
            <w:pPr>
              <w:ind w:firstLine="428"/>
              <w:jc w:val="both"/>
              <w:rPr>
                <w:rFonts w:ascii="Times New Roman" w:hAnsi="Times New Roman" w:cs="Times New Roman"/>
                <w:bCs/>
                <w:noProof/>
                <w:sz w:val="24"/>
                <w:szCs w:val="24"/>
              </w:rPr>
            </w:pPr>
            <w:r w:rsidRPr="00003665">
              <w:rPr>
                <w:rFonts w:ascii="Times New Roman" w:hAnsi="Times New Roman" w:cs="Times New Roman"/>
                <w:b/>
                <w:noProof/>
                <w:sz w:val="24"/>
                <w:szCs w:val="24"/>
              </w:rPr>
              <w:t xml:space="preserve">MADDE 3- </w:t>
            </w:r>
            <w:r w:rsidRPr="00003665">
              <w:rPr>
                <w:rFonts w:ascii="Times New Roman" w:hAnsi="Times New Roman" w:cs="Times New Roman"/>
                <w:noProof/>
                <w:sz w:val="24"/>
                <w:szCs w:val="24"/>
              </w:rPr>
              <w:t>Bu Tebliğ yayımı tarihinde yürürlüğe girer.</w:t>
            </w:r>
          </w:p>
        </w:tc>
        <w:tc>
          <w:tcPr>
            <w:tcW w:w="3755" w:type="dxa"/>
          </w:tcPr>
          <w:p w:rsidR="00EF058A" w:rsidRPr="00003665" w:rsidRDefault="00EF058A" w:rsidP="001639A2">
            <w:pPr>
              <w:pStyle w:val="Gvdemetni1"/>
              <w:widowControl w:val="0"/>
              <w:shd w:val="clear" w:color="auto" w:fill="auto"/>
              <w:tabs>
                <w:tab w:val="left" w:pos="884"/>
              </w:tabs>
              <w:spacing w:line="240" w:lineRule="auto"/>
              <w:ind w:right="23"/>
              <w:rPr>
                <w:rFonts w:ascii="Times New Roman" w:hAnsi="Times New Roman" w:cs="Times New Roman"/>
                <w:b/>
                <w:noProof/>
                <w:sz w:val="24"/>
                <w:szCs w:val="24"/>
              </w:rPr>
            </w:pPr>
          </w:p>
        </w:tc>
        <w:tc>
          <w:tcPr>
            <w:tcW w:w="3756" w:type="dxa"/>
          </w:tcPr>
          <w:p w:rsidR="00EF058A" w:rsidRPr="00003665" w:rsidRDefault="00EF058A" w:rsidP="00CB4543">
            <w:pPr>
              <w:pStyle w:val="Gvdemetni1"/>
              <w:widowControl w:val="0"/>
              <w:shd w:val="clear" w:color="auto" w:fill="auto"/>
              <w:tabs>
                <w:tab w:val="left" w:pos="884"/>
              </w:tabs>
              <w:spacing w:line="240" w:lineRule="auto"/>
              <w:ind w:right="23"/>
              <w:rPr>
                <w:rFonts w:ascii="Times New Roman" w:hAnsi="Times New Roman" w:cs="Times New Roman"/>
                <w:b/>
                <w:noProof/>
                <w:sz w:val="24"/>
                <w:szCs w:val="24"/>
              </w:rPr>
            </w:pPr>
          </w:p>
        </w:tc>
      </w:tr>
      <w:tr w:rsidR="001639A2" w:rsidRPr="00003665" w:rsidTr="00191F91">
        <w:trPr>
          <w:trHeight w:val="167"/>
        </w:trPr>
        <w:tc>
          <w:tcPr>
            <w:tcW w:w="3755" w:type="dxa"/>
          </w:tcPr>
          <w:p w:rsidR="001639A2" w:rsidRPr="00003665" w:rsidRDefault="001639A2" w:rsidP="001639A2">
            <w:pPr>
              <w:pStyle w:val="AralkYok"/>
              <w:ind w:firstLine="567"/>
              <w:jc w:val="both"/>
              <w:rPr>
                <w:rFonts w:ascii="Times New Roman" w:hAnsi="Times New Roman" w:cs="Times New Roman"/>
                <w:noProof/>
                <w:sz w:val="24"/>
                <w:szCs w:val="24"/>
              </w:rPr>
            </w:pPr>
          </w:p>
        </w:tc>
        <w:tc>
          <w:tcPr>
            <w:tcW w:w="3756" w:type="dxa"/>
          </w:tcPr>
          <w:p w:rsidR="001639A2" w:rsidRPr="00003665" w:rsidRDefault="00EF058A" w:rsidP="00EF058A">
            <w:pPr>
              <w:ind w:firstLine="428"/>
              <w:jc w:val="both"/>
              <w:rPr>
                <w:rFonts w:ascii="Times New Roman" w:hAnsi="Times New Roman" w:cs="Times New Roman"/>
                <w:b/>
                <w:noProof/>
                <w:sz w:val="24"/>
                <w:szCs w:val="24"/>
              </w:rPr>
            </w:pPr>
            <w:r w:rsidRPr="00003665">
              <w:rPr>
                <w:rFonts w:ascii="Times New Roman" w:hAnsi="Times New Roman" w:cs="Times New Roman"/>
                <w:b/>
                <w:noProof/>
                <w:sz w:val="24"/>
                <w:szCs w:val="24"/>
              </w:rPr>
              <w:t xml:space="preserve">MADDE 4- </w:t>
            </w:r>
            <w:r w:rsidRPr="00003665">
              <w:rPr>
                <w:rFonts w:ascii="Times New Roman" w:hAnsi="Times New Roman" w:cs="Times New Roman"/>
                <w:noProof/>
                <w:sz w:val="24"/>
                <w:szCs w:val="24"/>
              </w:rPr>
              <w:t>Bu Tebliğ hükümlerini Sermaye Piyasası Kurulu yürütür.</w:t>
            </w:r>
          </w:p>
        </w:tc>
        <w:tc>
          <w:tcPr>
            <w:tcW w:w="3755" w:type="dxa"/>
          </w:tcPr>
          <w:p w:rsidR="001639A2" w:rsidRPr="00003665" w:rsidRDefault="001639A2" w:rsidP="001639A2">
            <w:pPr>
              <w:jc w:val="both"/>
              <w:rPr>
                <w:rFonts w:ascii="Times New Roman" w:hAnsi="Times New Roman" w:cs="Times New Roman"/>
                <w:noProof/>
                <w:sz w:val="24"/>
                <w:szCs w:val="24"/>
              </w:rPr>
            </w:pPr>
          </w:p>
        </w:tc>
        <w:tc>
          <w:tcPr>
            <w:tcW w:w="3756" w:type="dxa"/>
          </w:tcPr>
          <w:p w:rsidR="001639A2" w:rsidRPr="00003665" w:rsidRDefault="001639A2" w:rsidP="001639A2">
            <w:pPr>
              <w:jc w:val="both"/>
              <w:rPr>
                <w:rFonts w:ascii="Times New Roman" w:hAnsi="Times New Roman" w:cs="Times New Roman"/>
                <w:b/>
                <w:noProof/>
                <w:sz w:val="24"/>
                <w:szCs w:val="24"/>
              </w:rPr>
            </w:pPr>
          </w:p>
        </w:tc>
      </w:tr>
      <w:tr w:rsidR="0022614A" w:rsidRPr="00003665" w:rsidTr="00191F91">
        <w:trPr>
          <w:trHeight w:val="167"/>
        </w:trPr>
        <w:tc>
          <w:tcPr>
            <w:tcW w:w="3755" w:type="dxa"/>
          </w:tcPr>
          <w:p w:rsidR="0022614A" w:rsidRPr="00003665" w:rsidRDefault="0022614A" w:rsidP="0022614A">
            <w:pPr>
              <w:pStyle w:val="AralkYok"/>
              <w:ind w:firstLine="313"/>
              <w:jc w:val="both"/>
              <w:rPr>
                <w:rFonts w:ascii="Times New Roman" w:hAnsi="Times New Roman" w:cs="Times New Roman"/>
                <w:b/>
                <w:noProof/>
                <w:sz w:val="24"/>
                <w:szCs w:val="24"/>
              </w:rPr>
            </w:pPr>
            <w:r w:rsidRPr="00003665">
              <w:rPr>
                <w:rFonts w:ascii="Times New Roman" w:hAnsi="Times New Roman" w:cs="Times New Roman"/>
                <w:b/>
                <w:noProof/>
                <w:sz w:val="24"/>
                <w:szCs w:val="24"/>
              </w:rPr>
              <w:t>Tanımlar ve kısaltmalar</w:t>
            </w:r>
          </w:p>
          <w:p w:rsidR="0022614A" w:rsidRPr="00003665" w:rsidRDefault="0022614A" w:rsidP="0022614A">
            <w:pPr>
              <w:pStyle w:val="AralkYok"/>
              <w:ind w:firstLine="313"/>
              <w:jc w:val="both"/>
              <w:rPr>
                <w:rFonts w:ascii="Times New Roman" w:hAnsi="Times New Roman" w:cs="Times New Roman"/>
                <w:noProof/>
                <w:sz w:val="24"/>
                <w:szCs w:val="24"/>
              </w:rPr>
            </w:pPr>
            <w:r w:rsidRPr="00003665">
              <w:rPr>
                <w:rFonts w:ascii="Times New Roman" w:hAnsi="Times New Roman" w:cs="Times New Roman"/>
                <w:b/>
                <w:noProof/>
                <w:sz w:val="24"/>
                <w:szCs w:val="24"/>
              </w:rPr>
              <w:t>MADDE 3</w:t>
            </w:r>
            <w:r w:rsidRPr="00003665">
              <w:rPr>
                <w:rFonts w:ascii="Times New Roman" w:hAnsi="Times New Roman" w:cs="Times New Roman"/>
                <w:noProof/>
                <w:sz w:val="24"/>
                <w:szCs w:val="24"/>
              </w:rPr>
              <w:t xml:space="preserve"> – (1) ……</w:t>
            </w:r>
          </w:p>
          <w:p w:rsidR="0022614A" w:rsidRPr="00003665" w:rsidRDefault="0022614A" w:rsidP="0022614A">
            <w:pPr>
              <w:pStyle w:val="AralkYok"/>
              <w:ind w:firstLine="567"/>
              <w:jc w:val="both"/>
              <w:rPr>
                <w:rFonts w:ascii="Times New Roman" w:hAnsi="Times New Roman" w:cs="Times New Roman"/>
                <w:noProof/>
                <w:sz w:val="24"/>
                <w:szCs w:val="24"/>
              </w:rPr>
            </w:pPr>
            <w:r w:rsidRPr="00003665">
              <w:rPr>
                <w:rFonts w:ascii="Times New Roman" w:hAnsi="Times New Roman" w:cs="Times New Roman"/>
                <w:noProof/>
                <w:sz w:val="24"/>
                <w:szCs w:val="24"/>
              </w:rPr>
              <w:t xml:space="preserve">ç) Gayrimenkul Değerleme Uzmanı: Gayrimenkul değerleme kuruluşu tarafından değerleme kadrosunda gayrimenkul değerlemesi yapmak üzere tam zamanlı olarak istihdam edilen veya sözleşme imzalamak suretiyle kuruluşa dışarıdan değerleme hizmeti sağlayan, asgari 4 yıllık üniversite mezunu, gayrimenkul değerlemesi alanında en az 3 yıllık </w:t>
            </w:r>
            <w:r w:rsidRPr="00003665">
              <w:rPr>
                <w:rFonts w:ascii="Times New Roman" w:hAnsi="Times New Roman" w:cs="Times New Roman"/>
                <w:noProof/>
                <w:sz w:val="24"/>
                <w:szCs w:val="24"/>
              </w:rPr>
              <w:lastRenderedPageBreak/>
              <w:t>tecrübesi bulunan ve Kurulca verilen Gayrimenkul Değerleme Lisansına sahip olan gerçek kişileri,</w:t>
            </w:r>
          </w:p>
        </w:tc>
        <w:tc>
          <w:tcPr>
            <w:tcW w:w="3756" w:type="dxa"/>
          </w:tcPr>
          <w:p w:rsidR="0022614A" w:rsidRPr="00003665" w:rsidRDefault="0022614A" w:rsidP="00EF058A">
            <w:pPr>
              <w:ind w:firstLine="428"/>
              <w:jc w:val="both"/>
              <w:rPr>
                <w:rFonts w:ascii="Times New Roman" w:hAnsi="Times New Roman" w:cs="Times New Roman"/>
                <w:b/>
                <w:noProof/>
                <w:sz w:val="24"/>
                <w:szCs w:val="24"/>
              </w:rPr>
            </w:pPr>
          </w:p>
        </w:tc>
        <w:tc>
          <w:tcPr>
            <w:tcW w:w="3755" w:type="dxa"/>
          </w:tcPr>
          <w:p w:rsidR="0022614A" w:rsidRPr="00003665" w:rsidRDefault="0022614A" w:rsidP="0022614A">
            <w:pPr>
              <w:pStyle w:val="AralkYok"/>
              <w:jc w:val="both"/>
              <w:rPr>
                <w:rFonts w:ascii="Times New Roman" w:hAnsi="Times New Roman" w:cs="Times New Roman"/>
                <w:noProof/>
                <w:sz w:val="24"/>
                <w:szCs w:val="24"/>
              </w:rPr>
            </w:pPr>
            <w:r w:rsidRPr="00003665">
              <w:rPr>
                <w:rFonts w:ascii="Times New Roman" w:hAnsi="Times New Roman" w:cs="Times New Roman"/>
                <w:noProof/>
                <w:sz w:val="24"/>
                <w:szCs w:val="24"/>
              </w:rPr>
              <w:t xml:space="preserve">Birlik Statüsünde değerleme uzmanı, </w:t>
            </w:r>
            <w:r w:rsidRPr="00003665">
              <w:rPr>
                <w:rFonts w:ascii="Times New Roman" w:hAnsi="Times New Roman" w:cs="Times New Roman"/>
                <w:i/>
                <w:noProof/>
                <w:sz w:val="24"/>
                <w:szCs w:val="24"/>
              </w:rPr>
              <w:t>“Değerleme Uzmanı: Kurulun lisanslamaya ilişkin düzenlemeleri çerçevesinde gayrimenkul değerleme uzmanlığı lisansına sahip olan kişileri ifade etmektedir.”</w:t>
            </w:r>
            <w:r w:rsidRPr="00003665">
              <w:rPr>
                <w:rFonts w:ascii="Times New Roman" w:hAnsi="Times New Roman" w:cs="Times New Roman"/>
                <w:noProof/>
                <w:sz w:val="24"/>
                <w:szCs w:val="24"/>
              </w:rPr>
              <w:t xml:space="preserve"> </w:t>
            </w:r>
          </w:p>
          <w:p w:rsidR="0022614A" w:rsidRPr="00003665" w:rsidRDefault="0022614A" w:rsidP="0022614A">
            <w:pPr>
              <w:pStyle w:val="AralkYok"/>
              <w:jc w:val="both"/>
              <w:rPr>
                <w:rFonts w:ascii="Times New Roman" w:hAnsi="Times New Roman" w:cs="Times New Roman"/>
                <w:noProof/>
                <w:sz w:val="24"/>
                <w:szCs w:val="24"/>
              </w:rPr>
            </w:pPr>
            <w:r w:rsidRPr="00003665">
              <w:rPr>
                <w:rFonts w:ascii="Times New Roman" w:hAnsi="Times New Roman" w:cs="Times New Roman"/>
                <w:noProof/>
                <w:sz w:val="24"/>
                <w:szCs w:val="24"/>
              </w:rPr>
              <w:t>Statü ve Tebliğdeki tanımların farklı olmasının uygulamada zorluk yaşatacağı düşünülmektedir. Bu nedenle Statüde, Tebliğe atıfta bulunulması ve ayrıca bir değerleme uzmanı tanımı yapılmaması gerektiğini düşünmekteyiz.</w:t>
            </w:r>
          </w:p>
          <w:p w:rsidR="0022614A" w:rsidRPr="00003665" w:rsidRDefault="0022614A" w:rsidP="0022614A">
            <w:pPr>
              <w:jc w:val="both"/>
              <w:rPr>
                <w:rFonts w:ascii="Times New Roman" w:hAnsi="Times New Roman" w:cs="Times New Roman"/>
                <w:noProof/>
                <w:sz w:val="24"/>
                <w:szCs w:val="24"/>
              </w:rPr>
            </w:pPr>
            <w:r w:rsidRPr="00003665">
              <w:rPr>
                <w:rFonts w:ascii="Times New Roman" w:hAnsi="Times New Roman" w:cs="Times New Roman"/>
                <w:noProof/>
                <w:sz w:val="24"/>
                <w:szCs w:val="24"/>
              </w:rPr>
              <w:lastRenderedPageBreak/>
              <w:t xml:space="preserve">Ayrıca Tebliğde bulunan gayrimenkul değerleme uzmanı tanımında </w:t>
            </w:r>
            <w:r w:rsidRPr="00003665">
              <w:rPr>
                <w:rFonts w:ascii="Times New Roman" w:hAnsi="Times New Roman" w:cs="Times New Roman"/>
                <w:i/>
                <w:noProof/>
                <w:sz w:val="24"/>
                <w:szCs w:val="24"/>
              </w:rPr>
              <w:t>“Gayrimenkul değerleme kuruluşu tarafından değerleme kadrosunda gayrimenkul değerlemesi yapmak üzere tam zamanlı olarak istihdam edilen veya sözleşme imzalamak suretiyle kuruluşa dışarıdan değerleme hizmeti sağlayan</w:t>
            </w:r>
            <w:r w:rsidRPr="00003665">
              <w:rPr>
                <w:rFonts w:ascii="Times New Roman" w:hAnsi="Times New Roman" w:cs="Times New Roman"/>
                <w:noProof/>
                <w:sz w:val="24"/>
                <w:szCs w:val="24"/>
              </w:rPr>
              <w:t>” ibaresi bulunmaktadır. Fakat uygulamada Bilirkişi olarak hizmet veren değerleme uzmanlarıyla kamu kurum ve kuruluşlarında, Bankalarda, Finans kuruluşlarında ve tebliğe atıfta bulunan diğer kuruluşlarda değerleme faaliyetinde bulunan değerleme uzmanları da bulunmaktadır. Daha kapsayıcı bir tanım olması için Gayrimenkul Değerleme Uzmanı tanımı önerimiz bulunmaktadır.</w:t>
            </w:r>
          </w:p>
        </w:tc>
        <w:tc>
          <w:tcPr>
            <w:tcW w:w="3756" w:type="dxa"/>
          </w:tcPr>
          <w:p w:rsidR="0022614A" w:rsidRPr="00003665" w:rsidRDefault="0022614A" w:rsidP="0022614A">
            <w:pPr>
              <w:pStyle w:val="AralkYok"/>
              <w:ind w:firstLine="313"/>
              <w:jc w:val="both"/>
              <w:rPr>
                <w:rFonts w:ascii="Times New Roman" w:hAnsi="Times New Roman" w:cs="Times New Roman"/>
                <w:b/>
                <w:noProof/>
                <w:sz w:val="24"/>
                <w:szCs w:val="24"/>
              </w:rPr>
            </w:pPr>
            <w:r w:rsidRPr="00003665">
              <w:rPr>
                <w:rFonts w:ascii="Times New Roman" w:hAnsi="Times New Roman" w:cs="Times New Roman"/>
                <w:b/>
                <w:noProof/>
                <w:sz w:val="24"/>
                <w:szCs w:val="24"/>
              </w:rPr>
              <w:lastRenderedPageBreak/>
              <w:t>Tanımlar ve kısaltmalar</w:t>
            </w:r>
          </w:p>
          <w:p w:rsidR="0022614A" w:rsidRPr="00003665" w:rsidRDefault="0022614A" w:rsidP="0022614A">
            <w:pPr>
              <w:pStyle w:val="AralkYok"/>
              <w:ind w:firstLine="313"/>
              <w:jc w:val="both"/>
              <w:rPr>
                <w:rFonts w:ascii="Times New Roman" w:hAnsi="Times New Roman" w:cs="Times New Roman"/>
                <w:noProof/>
                <w:sz w:val="24"/>
                <w:szCs w:val="24"/>
              </w:rPr>
            </w:pPr>
            <w:r w:rsidRPr="00003665">
              <w:rPr>
                <w:rFonts w:ascii="Times New Roman" w:hAnsi="Times New Roman" w:cs="Times New Roman"/>
                <w:b/>
                <w:noProof/>
                <w:sz w:val="24"/>
                <w:szCs w:val="24"/>
              </w:rPr>
              <w:t>MADDE 3</w:t>
            </w:r>
            <w:r w:rsidRPr="00003665">
              <w:rPr>
                <w:rFonts w:ascii="Times New Roman" w:hAnsi="Times New Roman" w:cs="Times New Roman"/>
                <w:noProof/>
                <w:sz w:val="24"/>
                <w:szCs w:val="24"/>
              </w:rPr>
              <w:t xml:space="preserve"> – (1) ……</w:t>
            </w:r>
          </w:p>
          <w:p w:rsidR="0022614A" w:rsidRPr="00003665" w:rsidRDefault="0022614A" w:rsidP="0022614A">
            <w:pPr>
              <w:jc w:val="both"/>
              <w:rPr>
                <w:rFonts w:ascii="Times New Roman" w:hAnsi="Times New Roman" w:cs="Times New Roman"/>
                <w:b/>
                <w:noProof/>
                <w:sz w:val="24"/>
                <w:szCs w:val="24"/>
              </w:rPr>
            </w:pPr>
            <w:r w:rsidRPr="00003665">
              <w:rPr>
                <w:rFonts w:ascii="Times New Roman" w:hAnsi="Times New Roman" w:cs="Times New Roman"/>
                <w:noProof/>
                <w:sz w:val="24"/>
                <w:szCs w:val="24"/>
              </w:rPr>
              <w:t xml:space="preserve">ç) Gayrimenkul Değerleme Uzmanı: </w:t>
            </w:r>
            <w:r w:rsidRPr="00003665">
              <w:rPr>
                <w:rFonts w:ascii="Times New Roman" w:hAnsi="Times New Roman" w:cs="Times New Roman"/>
                <w:strike/>
                <w:noProof/>
                <w:color w:val="FF0000"/>
                <w:sz w:val="24"/>
                <w:szCs w:val="24"/>
              </w:rPr>
              <w:t>Gayrimenkul değerleme kuruluşu tarafından değerleme kadrosunda gayrimenkul değerlemesi yapmak üzere tam zamanlı olarak istihdam edilen veya sözleşme imzalamak suretiyle kuruluşa dışarıdan değerleme hizmeti sağlayan,</w:t>
            </w:r>
            <w:r w:rsidRPr="00003665">
              <w:rPr>
                <w:rFonts w:ascii="Times New Roman" w:hAnsi="Times New Roman" w:cs="Times New Roman"/>
                <w:noProof/>
                <w:color w:val="FF0000"/>
                <w:sz w:val="24"/>
                <w:szCs w:val="24"/>
              </w:rPr>
              <w:t xml:space="preserve"> </w:t>
            </w:r>
            <w:r w:rsidRPr="00003665">
              <w:rPr>
                <w:rFonts w:ascii="Times New Roman" w:hAnsi="Times New Roman" w:cs="Times New Roman"/>
                <w:noProof/>
                <w:sz w:val="24"/>
                <w:szCs w:val="24"/>
              </w:rPr>
              <w:t xml:space="preserve">Asgari 4 yıllık üniversite mezunu, </w:t>
            </w:r>
            <w:r w:rsidRPr="00003665">
              <w:rPr>
                <w:rFonts w:ascii="Times New Roman" w:hAnsi="Times New Roman" w:cs="Times New Roman"/>
                <w:strike/>
                <w:noProof/>
                <w:color w:val="FF0000"/>
                <w:sz w:val="24"/>
                <w:szCs w:val="24"/>
              </w:rPr>
              <w:t>gayrimenkul değerlemesi alanında en az 3 yıllık tecrübesi bulunan</w:t>
            </w:r>
            <w:r w:rsidRPr="00003665">
              <w:rPr>
                <w:rFonts w:ascii="Times New Roman" w:hAnsi="Times New Roman" w:cs="Times New Roman"/>
                <w:noProof/>
                <w:color w:val="FF0000"/>
                <w:sz w:val="24"/>
                <w:szCs w:val="24"/>
              </w:rPr>
              <w:t xml:space="preserve"> </w:t>
            </w:r>
            <w:r w:rsidRPr="00003665">
              <w:rPr>
                <w:rFonts w:ascii="Times New Roman" w:hAnsi="Times New Roman" w:cs="Times New Roman"/>
                <w:noProof/>
                <w:color w:val="FF0000"/>
                <w:sz w:val="24"/>
                <w:szCs w:val="24"/>
                <w:u w:val="single"/>
              </w:rPr>
              <w:t xml:space="preserve">Birlik </w:t>
            </w:r>
            <w:r w:rsidRPr="00003665">
              <w:rPr>
                <w:rFonts w:ascii="Times New Roman" w:hAnsi="Times New Roman" w:cs="Times New Roman"/>
                <w:noProof/>
                <w:color w:val="FF0000"/>
                <w:sz w:val="24"/>
                <w:szCs w:val="24"/>
                <w:u w:val="single"/>
              </w:rPr>
              <w:lastRenderedPageBreak/>
              <w:t xml:space="preserve">tarafından verilen 3 yıllık mesleki tecrübe belgesi bulunan </w:t>
            </w:r>
            <w:r w:rsidRPr="00003665">
              <w:rPr>
                <w:rFonts w:ascii="Times New Roman" w:hAnsi="Times New Roman" w:cs="Times New Roman"/>
                <w:noProof/>
                <w:sz w:val="24"/>
                <w:szCs w:val="24"/>
              </w:rPr>
              <w:t>ve Kurulca verilen Gayrimenkul Değerleme Lisansına sahip olan gerçek kişileri</w:t>
            </w:r>
          </w:p>
        </w:tc>
      </w:tr>
    </w:tbl>
    <w:p w:rsidR="00CB05CC" w:rsidRPr="00003665" w:rsidRDefault="00CB05CC" w:rsidP="00ED1964">
      <w:pPr>
        <w:rPr>
          <w:rFonts w:ascii="Times New Roman" w:hAnsi="Times New Roman" w:cs="Times New Roman"/>
          <w:noProof/>
          <w:sz w:val="24"/>
          <w:szCs w:val="24"/>
        </w:rPr>
      </w:pPr>
    </w:p>
    <w:sectPr w:rsidR="00CB05CC" w:rsidRPr="00003665" w:rsidSect="00EF058A">
      <w:pgSz w:w="16838" w:h="11906" w:orient="landscape"/>
      <w:pgMar w:top="567"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EFF" w:usb1="C000247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 w:name="Courier New">
    <w:panose1 w:val="02070309020205020404"/>
    <w:charset w:val="A2"/>
    <w:family w:val="modern"/>
    <w:pitch w:val="fixed"/>
    <w:sig w:usb0="E0002EFF" w:usb1="C0007843"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055C9"/>
    <w:multiLevelType w:val="hybridMultilevel"/>
    <w:tmpl w:val="7FAA39D6"/>
    <w:lvl w:ilvl="0" w:tplc="FB8A88AA">
      <w:start w:val="1"/>
      <w:numFmt w:val="lowerLetter"/>
      <w:lvlText w:val="%1)"/>
      <w:lvlJc w:val="left"/>
      <w:pPr>
        <w:ind w:left="1470" w:hanging="360"/>
      </w:pPr>
      <w:rPr>
        <w:rFonts w:hint="default"/>
      </w:rPr>
    </w:lvl>
    <w:lvl w:ilvl="1" w:tplc="041F0019" w:tentative="1">
      <w:start w:val="1"/>
      <w:numFmt w:val="lowerLetter"/>
      <w:lvlText w:val="%2."/>
      <w:lvlJc w:val="left"/>
      <w:pPr>
        <w:ind w:left="2190" w:hanging="360"/>
      </w:pPr>
    </w:lvl>
    <w:lvl w:ilvl="2" w:tplc="041F001B" w:tentative="1">
      <w:start w:val="1"/>
      <w:numFmt w:val="lowerRoman"/>
      <w:lvlText w:val="%3."/>
      <w:lvlJc w:val="right"/>
      <w:pPr>
        <w:ind w:left="2910" w:hanging="180"/>
      </w:pPr>
    </w:lvl>
    <w:lvl w:ilvl="3" w:tplc="041F000F" w:tentative="1">
      <w:start w:val="1"/>
      <w:numFmt w:val="decimal"/>
      <w:lvlText w:val="%4."/>
      <w:lvlJc w:val="left"/>
      <w:pPr>
        <w:ind w:left="3630" w:hanging="360"/>
      </w:pPr>
    </w:lvl>
    <w:lvl w:ilvl="4" w:tplc="041F0019" w:tentative="1">
      <w:start w:val="1"/>
      <w:numFmt w:val="lowerLetter"/>
      <w:lvlText w:val="%5."/>
      <w:lvlJc w:val="left"/>
      <w:pPr>
        <w:ind w:left="4350" w:hanging="360"/>
      </w:pPr>
    </w:lvl>
    <w:lvl w:ilvl="5" w:tplc="041F001B" w:tentative="1">
      <w:start w:val="1"/>
      <w:numFmt w:val="lowerRoman"/>
      <w:lvlText w:val="%6."/>
      <w:lvlJc w:val="right"/>
      <w:pPr>
        <w:ind w:left="5070" w:hanging="180"/>
      </w:pPr>
    </w:lvl>
    <w:lvl w:ilvl="6" w:tplc="041F000F" w:tentative="1">
      <w:start w:val="1"/>
      <w:numFmt w:val="decimal"/>
      <w:lvlText w:val="%7."/>
      <w:lvlJc w:val="left"/>
      <w:pPr>
        <w:ind w:left="5790" w:hanging="360"/>
      </w:pPr>
    </w:lvl>
    <w:lvl w:ilvl="7" w:tplc="041F0019" w:tentative="1">
      <w:start w:val="1"/>
      <w:numFmt w:val="lowerLetter"/>
      <w:lvlText w:val="%8."/>
      <w:lvlJc w:val="left"/>
      <w:pPr>
        <w:ind w:left="6510" w:hanging="360"/>
      </w:pPr>
    </w:lvl>
    <w:lvl w:ilvl="8" w:tplc="041F001B" w:tentative="1">
      <w:start w:val="1"/>
      <w:numFmt w:val="lowerRoman"/>
      <w:lvlText w:val="%9."/>
      <w:lvlJc w:val="right"/>
      <w:pPr>
        <w:ind w:left="7230" w:hanging="180"/>
      </w:pPr>
    </w:lvl>
  </w:abstractNum>
  <w:abstractNum w:abstractNumId="1" w15:restartNumberingAfterBreak="0">
    <w:nsid w:val="05942B0A"/>
    <w:multiLevelType w:val="hybridMultilevel"/>
    <w:tmpl w:val="72BE7C36"/>
    <w:lvl w:ilvl="0" w:tplc="78D4D532">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 w15:restartNumberingAfterBreak="0">
    <w:nsid w:val="0CCF0918"/>
    <w:multiLevelType w:val="hybridMultilevel"/>
    <w:tmpl w:val="F84882C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D561044"/>
    <w:multiLevelType w:val="hybridMultilevel"/>
    <w:tmpl w:val="7A0801CC"/>
    <w:lvl w:ilvl="0" w:tplc="55C624FC">
      <w:start w:val="1"/>
      <w:numFmt w:val="lowerLetter"/>
      <w:lvlText w:val="%1)"/>
      <w:lvlJc w:val="left"/>
      <w:pPr>
        <w:ind w:left="750" w:hanging="360"/>
      </w:pPr>
      <w:rPr>
        <w:rFonts w:hint="default"/>
        <w:b w:val="0"/>
      </w:rPr>
    </w:lvl>
    <w:lvl w:ilvl="1" w:tplc="041F0019" w:tentative="1">
      <w:start w:val="1"/>
      <w:numFmt w:val="lowerLetter"/>
      <w:lvlText w:val="%2."/>
      <w:lvlJc w:val="left"/>
      <w:pPr>
        <w:ind w:left="1470" w:hanging="360"/>
      </w:pPr>
    </w:lvl>
    <w:lvl w:ilvl="2" w:tplc="041F001B" w:tentative="1">
      <w:start w:val="1"/>
      <w:numFmt w:val="lowerRoman"/>
      <w:lvlText w:val="%3."/>
      <w:lvlJc w:val="right"/>
      <w:pPr>
        <w:ind w:left="2190" w:hanging="180"/>
      </w:pPr>
    </w:lvl>
    <w:lvl w:ilvl="3" w:tplc="041F000F" w:tentative="1">
      <w:start w:val="1"/>
      <w:numFmt w:val="decimal"/>
      <w:lvlText w:val="%4."/>
      <w:lvlJc w:val="left"/>
      <w:pPr>
        <w:ind w:left="2910" w:hanging="360"/>
      </w:pPr>
    </w:lvl>
    <w:lvl w:ilvl="4" w:tplc="041F0019" w:tentative="1">
      <w:start w:val="1"/>
      <w:numFmt w:val="lowerLetter"/>
      <w:lvlText w:val="%5."/>
      <w:lvlJc w:val="left"/>
      <w:pPr>
        <w:ind w:left="3630" w:hanging="360"/>
      </w:pPr>
    </w:lvl>
    <w:lvl w:ilvl="5" w:tplc="041F001B" w:tentative="1">
      <w:start w:val="1"/>
      <w:numFmt w:val="lowerRoman"/>
      <w:lvlText w:val="%6."/>
      <w:lvlJc w:val="right"/>
      <w:pPr>
        <w:ind w:left="4350" w:hanging="180"/>
      </w:pPr>
    </w:lvl>
    <w:lvl w:ilvl="6" w:tplc="041F000F" w:tentative="1">
      <w:start w:val="1"/>
      <w:numFmt w:val="decimal"/>
      <w:lvlText w:val="%7."/>
      <w:lvlJc w:val="left"/>
      <w:pPr>
        <w:ind w:left="5070" w:hanging="360"/>
      </w:pPr>
    </w:lvl>
    <w:lvl w:ilvl="7" w:tplc="041F0019" w:tentative="1">
      <w:start w:val="1"/>
      <w:numFmt w:val="lowerLetter"/>
      <w:lvlText w:val="%8."/>
      <w:lvlJc w:val="left"/>
      <w:pPr>
        <w:ind w:left="5790" w:hanging="360"/>
      </w:pPr>
    </w:lvl>
    <w:lvl w:ilvl="8" w:tplc="041F001B" w:tentative="1">
      <w:start w:val="1"/>
      <w:numFmt w:val="lowerRoman"/>
      <w:lvlText w:val="%9."/>
      <w:lvlJc w:val="right"/>
      <w:pPr>
        <w:ind w:left="6510" w:hanging="180"/>
      </w:pPr>
    </w:lvl>
  </w:abstractNum>
  <w:abstractNum w:abstractNumId="4" w15:restartNumberingAfterBreak="0">
    <w:nsid w:val="3750486B"/>
    <w:multiLevelType w:val="hybridMultilevel"/>
    <w:tmpl w:val="03D2EBE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44CD2A85"/>
    <w:multiLevelType w:val="hybridMultilevel"/>
    <w:tmpl w:val="72BE7C36"/>
    <w:lvl w:ilvl="0" w:tplc="78D4D532">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6" w15:restartNumberingAfterBreak="0">
    <w:nsid w:val="49DF376F"/>
    <w:multiLevelType w:val="hybridMultilevel"/>
    <w:tmpl w:val="72BE7C36"/>
    <w:lvl w:ilvl="0" w:tplc="78D4D532">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7" w15:restartNumberingAfterBreak="0">
    <w:nsid w:val="6709113F"/>
    <w:multiLevelType w:val="hybridMultilevel"/>
    <w:tmpl w:val="C7C6B21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6BFD102D"/>
    <w:multiLevelType w:val="hybridMultilevel"/>
    <w:tmpl w:val="7A0801CC"/>
    <w:lvl w:ilvl="0" w:tplc="55C624FC">
      <w:start w:val="1"/>
      <w:numFmt w:val="lowerLetter"/>
      <w:lvlText w:val="%1)"/>
      <w:lvlJc w:val="left"/>
      <w:pPr>
        <w:ind w:left="750" w:hanging="360"/>
      </w:pPr>
      <w:rPr>
        <w:rFonts w:hint="default"/>
        <w:b w:val="0"/>
      </w:rPr>
    </w:lvl>
    <w:lvl w:ilvl="1" w:tplc="041F0019" w:tentative="1">
      <w:start w:val="1"/>
      <w:numFmt w:val="lowerLetter"/>
      <w:lvlText w:val="%2."/>
      <w:lvlJc w:val="left"/>
      <w:pPr>
        <w:ind w:left="1470" w:hanging="360"/>
      </w:pPr>
    </w:lvl>
    <w:lvl w:ilvl="2" w:tplc="041F001B" w:tentative="1">
      <w:start w:val="1"/>
      <w:numFmt w:val="lowerRoman"/>
      <w:lvlText w:val="%3."/>
      <w:lvlJc w:val="right"/>
      <w:pPr>
        <w:ind w:left="2190" w:hanging="180"/>
      </w:pPr>
    </w:lvl>
    <w:lvl w:ilvl="3" w:tplc="041F000F" w:tentative="1">
      <w:start w:val="1"/>
      <w:numFmt w:val="decimal"/>
      <w:lvlText w:val="%4."/>
      <w:lvlJc w:val="left"/>
      <w:pPr>
        <w:ind w:left="2910" w:hanging="360"/>
      </w:pPr>
    </w:lvl>
    <w:lvl w:ilvl="4" w:tplc="041F0019" w:tentative="1">
      <w:start w:val="1"/>
      <w:numFmt w:val="lowerLetter"/>
      <w:lvlText w:val="%5."/>
      <w:lvlJc w:val="left"/>
      <w:pPr>
        <w:ind w:left="3630" w:hanging="360"/>
      </w:pPr>
    </w:lvl>
    <w:lvl w:ilvl="5" w:tplc="041F001B" w:tentative="1">
      <w:start w:val="1"/>
      <w:numFmt w:val="lowerRoman"/>
      <w:lvlText w:val="%6."/>
      <w:lvlJc w:val="right"/>
      <w:pPr>
        <w:ind w:left="4350" w:hanging="180"/>
      </w:pPr>
    </w:lvl>
    <w:lvl w:ilvl="6" w:tplc="041F000F" w:tentative="1">
      <w:start w:val="1"/>
      <w:numFmt w:val="decimal"/>
      <w:lvlText w:val="%7."/>
      <w:lvlJc w:val="left"/>
      <w:pPr>
        <w:ind w:left="5070" w:hanging="360"/>
      </w:pPr>
    </w:lvl>
    <w:lvl w:ilvl="7" w:tplc="041F0019" w:tentative="1">
      <w:start w:val="1"/>
      <w:numFmt w:val="lowerLetter"/>
      <w:lvlText w:val="%8."/>
      <w:lvlJc w:val="left"/>
      <w:pPr>
        <w:ind w:left="5790" w:hanging="360"/>
      </w:pPr>
    </w:lvl>
    <w:lvl w:ilvl="8" w:tplc="041F001B" w:tentative="1">
      <w:start w:val="1"/>
      <w:numFmt w:val="lowerRoman"/>
      <w:lvlText w:val="%9."/>
      <w:lvlJc w:val="right"/>
      <w:pPr>
        <w:ind w:left="6510" w:hanging="180"/>
      </w:pPr>
    </w:lvl>
  </w:abstractNum>
  <w:abstractNum w:abstractNumId="9" w15:restartNumberingAfterBreak="0">
    <w:nsid w:val="7138317D"/>
    <w:multiLevelType w:val="hybridMultilevel"/>
    <w:tmpl w:val="1040E108"/>
    <w:lvl w:ilvl="0" w:tplc="C9241AF2">
      <w:start w:val="1"/>
      <w:numFmt w:val="lowerLetter"/>
      <w:lvlText w:val="%1)"/>
      <w:lvlJc w:val="left"/>
      <w:pPr>
        <w:ind w:left="1110" w:hanging="360"/>
      </w:pPr>
      <w:rPr>
        <w:rFonts w:hint="default"/>
      </w:rPr>
    </w:lvl>
    <w:lvl w:ilvl="1" w:tplc="041F0019" w:tentative="1">
      <w:start w:val="1"/>
      <w:numFmt w:val="lowerLetter"/>
      <w:lvlText w:val="%2."/>
      <w:lvlJc w:val="left"/>
      <w:pPr>
        <w:ind w:left="1830" w:hanging="360"/>
      </w:pPr>
    </w:lvl>
    <w:lvl w:ilvl="2" w:tplc="041F001B" w:tentative="1">
      <w:start w:val="1"/>
      <w:numFmt w:val="lowerRoman"/>
      <w:lvlText w:val="%3."/>
      <w:lvlJc w:val="right"/>
      <w:pPr>
        <w:ind w:left="2550" w:hanging="180"/>
      </w:pPr>
    </w:lvl>
    <w:lvl w:ilvl="3" w:tplc="041F000F" w:tentative="1">
      <w:start w:val="1"/>
      <w:numFmt w:val="decimal"/>
      <w:lvlText w:val="%4."/>
      <w:lvlJc w:val="left"/>
      <w:pPr>
        <w:ind w:left="3270" w:hanging="360"/>
      </w:pPr>
    </w:lvl>
    <w:lvl w:ilvl="4" w:tplc="041F0019" w:tentative="1">
      <w:start w:val="1"/>
      <w:numFmt w:val="lowerLetter"/>
      <w:lvlText w:val="%5."/>
      <w:lvlJc w:val="left"/>
      <w:pPr>
        <w:ind w:left="3990" w:hanging="360"/>
      </w:pPr>
    </w:lvl>
    <w:lvl w:ilvl="5" w:tplc="041F001B" w:tentative="1">
      <w:start w:val="1"/>
      <w:numFmt w:val="lowerRoman"/>
      <w:lvlText w:val="%6."/>
      <w:lvlJc w:val="right"/>
      <w:pPr>
        <w:ind w:left="4710" w:hanging="180"/>
      </w:pPr>
    </w:lvl>
    <w:lvl w:ilvl="6" w:tplc="041F000F" w:tentative="1">
      <w:start w:val="1"/>
      <w:numFmt w:val="decimal"/>
      <w:lvlText w:val="%7."/>
      <w:lvlJc w:val="left"/>
      <w:pPr>
        <w:ind w:left="5430" w:hanging="360"/>
      </w:pPr>
    </w:lvl>
    <w:lvl w:ilvl="7" w:tplc="041F0019" w:tentative="1">
      <w:start w:val="1"/>
      <w:numFmt w:val="lowerLetter"/>
      <w:lvlText w:val="%8."/>
      <w:lvlJc w:val="left"/>
      <w:pPr>
        <w:ind w:left="6150" w:hanging="360"/>
      </w:pPr>
    </w:lvl>
    <w:lvl w:ilvl="8" w:tplc="041F001B" w:tentative="1">
      <w:start w:val="1"/>
      <w:numFmt w:val="lowerRoman"/>
      <w:lvlText w:val="%9."/>
      <w:lvlJc w:val="right"/>
      <w:pPr>
        <w:ind w:left="6870" w:hanging="180"/>
      </w:pPr>
    </w:lvl>
  </w:abstractNum>
  <w:num w:numId="1">
    <w:abstractNumId w:val="5"/>
  </w:num>
  <w:num w:numId="2">
    <w:abstractNumId w:val="6"/>
  </w:num>
  <w:num w:numId="3">
    <w:abstractNumId w:val="1"/>
  </w:num>
  <w:num w:numId="4">
    <w:abstractNumId w:val="3"/>
  </w:num>
  <w:num w:numId="5">
    <w:abstractNumId w:val="8"/>
  </w:num>
  <w:num w:numId="6">
    <w:abstractNumId w:val="0"/>
  </w:num>
  <w:num w:numId="7">
    <w:abstractNumId w:val="4"/>
  </w:num>
  <w:num w:numId="8">
    <w:abstractNumId w:val="9"/>
  </w:num>
  <w:num w:numId="9">
    <w:abstractNumId w:val="2"/>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05CC"/>
    <w:rsid w:val="00003665"/>
    <w:rsid w:val="0001353E"/>
    <w:rsid w:val="00017023"/>
    <w:rsid w:val="0003642D"/>
    <w:rsid w:val="00036576"/>
    <w:rsid w:val="00046037"/>
    <w:rsid w:val="00047E60"/>
    <w:rsid w:val="0005079B"/>
    <w:rsid w:val="00052659"/>
    <w:rsid w:val="000736A1"/>
    <w:rsid w:val="00082180"/>
    <w:rsid w:val="000850B5"/>
    <w:rsid w:val="000912C7"/>
    <w:rsid w:val="000B01CC"/>
    <w:rsid w:val="000B0B98"/>
    <w:rsid w:val="000C7CFB"/>
    <w:rsid w:val="000D2A91"/>
    <w:rsid w:val="00102624"/>
    <w:rsid w:val="00111626"/>
    <w:rsid w:val="00132F16"/>
    <w:rsid w:val="001535C1"/>
    <w:rsid w:val="001639A2"/>
    <w:rsid w:val="001735EB"/>
    <w:rsid w:val="001832C9"/>
    <w:rsid w:val="00191F91"/>
    <w:rsid w:val="0019436C"/>
    <w:rsid w:val="001963D6"/>
    <w:rsid w:val="001A2C81"/>
    <w:rsid w:val="001A5228"/>
    <w:rsid w:val="001B0E24"/>
    <w:rsid w:val="001D14BB"/>
    <w:rsid w:val="001D4560"/>
    <w:rsid w:val="001F5109"/>
    <w:rsid w:val="0020220A"/>
    <w:rsid w:val="00204335"/>
    <w:rsid w:val="002217F8"/>
    <w:rsid w:val="00221C19"/>
    <w:rsid w:val="00222086"/>
    <w:rsid w:val="0022614A"/>
    <w:rsid w:val="002342F6"/>
    <w:rsid w:val="002370E2"/>
    <w:rsid w:val="0024002F"/>
    <w:rsid w:val="00241AEB"/>
    <w:rsid w:val="00252F33"/>
    <w:rsid w:val="00263873"/>
    <w:rsid w:val="00267062"/>
    <w:rsid w:val="002A485C"/>
    <w:rsid w:val="002A6F5B"/>
    <w:rsid w:val="002B0745"/>
    <w:rsid w:val="002B7CC1"/>
    <w:rsid w:val="002C088C"/>
    <w:rsid w:val="002C0F3D"/>
    <w:rsid w:val="002F1142"/>
    <w:rsid w:val="002F2D38"/>
    <w:rsid w:val="002F7F13"/>
    <w:rsid w:val="00301F1D"/>
    <w:rsid w:val="003104E0"/>
    <w:rsid w:val="003141C3"/>
    <w:rsid w:val="00330E63"/>
    <w:rsid w:val="003339C0"/>
    <w:rsid w:val="0036459D"/>
    <w:rsid w:val="003767CA"/>
    <w:rsid w:val="003768D7"/>
    <w:rsid w:val="0038329B"/>
    <w:rsid w:val="00392254"/>
    <w:rsid w:val="00393898"/>
    <w:rsid w:val="003A5C6F"/>
    <w:rsid w:val="003B1FC4"/>
    <w:rsid w:val="003B41E0"/>
    <w:rsid w:val="003B563C"/>
    <w:rsid w:val="003D471F"/>
    <w:rsid w:val="003F778F"/>
    <w:rsid w:val="0040198F"/>
    <w:rsid w:val="004160F0"/>
    <w:rsid w:val="0042422E"/>
    <w:rsid w:val="00433476"/>
    <w:rsid w:val="00454039"/>
    <w:rsid w:val="00455164"/>
    <w:rsid w:val="00470293"/>
    <w:rsid w:val="00472452"/>
    <w:rsid w:val="00472D46"/>
    <w:rsid w:val="00473964"/>
    <w:rsid w:val="004765C0"/>
    <w:rsid w:val="0049362E"/>
    <w:rsid w:val="00496576"/>
    <w:rsid w:val="004A218E"/>
    <w:rsid w:val="004E7258"/>
    <w:rsid w:val="004F3C6C"/>
    <w:rsid w:val="004F7EB7"/>
    <w:rsid w:val="00520DC3"/>
    <w:rsid w:val="00526736"/>
    <w:rsid w:val="00535575"/>
    <w:rsid w:val="00543BDA"/>
    <w:rsid w:val="005547B1"/>
    <w:rsid w:val="0057018D"/>
    <w:rsid w:val="00572846"/>
    <w:rsid w:val="005773F1"/>
    <w:rsid w:val="0058158E"/>
    <w:rsid w:val="005861B2"/>
    <w:rsid w:val="005A0684"/>
    <w:rsid w:val="005A1D05"/>
    <w:rsid w:val="005B6764"/>
    <w:rsid w:val="005B7D1F"/>
    <w:rsid w:val="005C2A32"/>
    <w:rsid w:val="005F0206"/>
    <w:rsid w:val="005F7061"/>
    <w:rsid w:val="006004D9"/>
    <w:rsid w:val="00603343"/>
    <w:rsid w:val="00604610"/>
    <w:rsid w:val="00604A91"/>
    <w:rsid w:val="00607ECC"/>
    <w:rsid w:val="00627093"/>
    <w:rsid w:val="006316CB"/>
    <w:rsid w:val="00633430"/>
    <w:rsid w:val="006534AE"/>
    <w:rsid w:val="006801AC"/>
    <w:rsid w:val="006872C2"/>
    <w:rsid w:val="006A1CEA"/>
    <w:rsid w:val="006B329B"/>
    <w:rsid w:val="006C3121"/>
    <w:rsid w:val="006C4162"/>
    <w:rsid w:val="006C544A"/>
    <w:rsid w:val="006C73B7"/>
    <w:rsid w:val="006D7FFA"/>
    <w:rsid w:val="006F2D11"/>
    <w:rsid w:val="006F53D6"/>
    <w:rsid w:val="007027AB"/>
    <w:rsid w:val="007065B6"/>
    <w:rsid w:val="00725EA5"/>
    <w:rsid w:val="00734B96"/>
    <w:rsid w:val="0074357D"/>
    <w:rsid w:val="00775276"/>
    <w:rsid w:val="00777634"/>
    <w:rsid w:val="00781871"/>
    <w:rsid w:val="00786C2D"/>
    <w:rsid w:val="007A0477"/>
    <w:rsid w:val="007A1EB4"/>
    <w:rsid w:val="007A6D3F"/>
    <w:rsid w:val="007C354E"/>
    <w:rsid w:val="007D6B50"/>
    <w:rsid w:val="007E6914"/>
    <w:rsid w:val="00807547"/>
    <w:rsid w:val="00816370"/>
    <w:rsid w:val="008178B2"/>
    <w:rsid w:val="0083733A"/>
    <w:rsid w:val="0084074E"/>
    <w:rsid w:val="008426FF"/>
    <w:rsid w:val="0084655C"/>
    <w:rsid w:val="00850D38"/>
    <w:rsid w:val="008633D9"/>
    <w:rsid w:val="008761B4"/>
    <w:rsid w:val="008813D4"/>
    <w:rsid w:val="008A16E2"/>
    <w:rsid w:val="008B1C16"/>
    <w:rsid w:val="008B2035"/>
    <w:rsid w:val="008B6C4F"/>
    <w:rsid w:val="008C0C84"/>
    <w:rsid w:val="008C29C4"/>
    <w:rsid w:val="008C3414"/>
    <w:rsid w:val="008F6053"/>
    <w:rsid w:val="009056B1"/>
    <w:rsid w:val="009151B2"/>
    <w:rsid w:val="009154DD"/>
    <w:rsid w:val="00924B94"/>
    <w:rsid w:val="0094147B"/>
    <w:rsid w:val="009458D8"/>
    <w:rsid w:val="00952AB5"/>
    <w:rsid w:val="00954E8A"/>
    <w:rsid w:val="0097452C"/>
    <w:rsid w:val="009844B8"/>
    <w:rsid w:val="00986139"/>
    <w:rsid w:val="009919AB"/>
    <w:rsid w:val="009B4253"/>
    <w:rsid w:val="009B74F7"/>
    <w:rsid w:val="009C561D"/>
    <w:rsid w:val="009D0220"/>
    <w:rsid w:val="009E0183"/>
    <w:rsid w:val="009F1729"/>
    <w:rsid w:val="009F222F"/>
    <w:rsid w:val="00A167F7"/>
    <w:rsid w:val="00A2214E"/>
    <w:rsid w:val="00A3191F"/>
    <w:rsid w:val="00A42F78"/>
    <w:rsid w:val="00A43B7A"/>
    <w:rsid w:val="00A523D8"/>
    <w:rsid w:val="00A55898"/>
    <w:rsid w:val="00A64017"/>
    <w:rsid w:val="00A66EC3"/>
    <w:rsid w:val="00A67A54"/>
    <w:rsid w:val="00A81367"/>
    <w:rsid w:val="00A91647"/>
    <w:rsid w:val="00A96017"/>
    <w:rsid w:val="00AA1D2E"/>
    <w:rsid w:val="00AC11D0"/>
    <w:rsid w:val="00AE17B5"/>
    <w:rsid w:val="00AE5C26"/>
    <w:rsid w:val="00AF02EB"/>
    <w:rsid w:val="00B0021D"/>
    <w:rsid w:val="00B063D8"/>
    <w:rsid w:val="00B16407"/>
    <w:rsid w:val="00B254AE"/>
    <w:rsid w:val="00B3259C"/>
    <w:rsid w:val="00B40EA3"/>
    <w:rsid w:val="00B53506"/>
    <w:rsid w:val="00B845F7"/>
    <w:rsid w:val="00B912FF"/>
    <w:rsid w:val="00BB3586"/>
    <w:rsid w:val="00BB3BB0"/>
    <w:rsid w:val="00BE322C"/>
    <w:rsid w:val="00BE543E"/>
    <w:rsid w:val="00BF1F20"/>
    <w:rsid w:val="00BF37F6"/>
    <w:rsid w:val="00C03E1F"/>
    <w:rsid w:val="00C352FA"/>
    <w:rsid w:val="00C507E7"/>
    <w:rsid w:val="00C50BF3"/>
    <w:rsid w:val="00C5362D"/>
    <w:rsid w:val="00C64BC9"/>
    <w:rsid w:val="00C65B25"/>
    <w:rsid w:val="00C723AB"/>
    <w:rsid w:val="00C770A8"/>
    <w:rsid w:val="00C91536"/>
    <w:rsid w:val="00C928E5"/>
    <w:rsid w:val="00C95CC2"/>
    <w:rsid w:val="00C9620E"/>
    <w:rsid w:val="00CB05CC"/>
    <w:rsid w:val="00CB4543"/>
    <w:rsid w:val="00CC1B84"/>
    <w:rsid w:val="00CC1CE9"/>
    <w:rsid w:val="00CD30A0"/>
    <w:rsid w:val="00CD37BE"/>
    <w:rsid w:val="00CE225C"/>
    <w:rsid w:val="00CE4BBE"/>
    <w:rsid w:val="00D137C2"/>
    <w:rsid w:val="00D1510A"/>
    <w:rsid w:val="00D21BD8"/>
    <w:rsid w:val="00D31105"/>
    <w:rsid w:val="00D31CE8"/>
    <w:rsid w:val="00D37BD7"/>
    <w:rsid w:val="00D479BE"/>
    <w:rsid w:val="00D50372"/>
    <w:rsid w:val="00D51F43"/>
    <w:rsid w:val="00D5380A"/>
    <w:rsid w:val="00D542F2"/>
    <w:rsid w:val="00D710F1"/>
    <w:rsid w:val="00D76EB1"/>
    <w:rsid w:val="00D85EBB"/>
    <w:rsid w:val="00DA0437"/>
    <w:rsid w:val="00DD53CF"/>
    <w:rsid w:val="00DD7987"/>
    <w:rsid w:val="00DE1CA9"/>
    <w:rsid w:val="00DE1EF4"/>
    <w:rsid w:val="00E021AF"/>
    <w:rsid w:val="00E04FA4"/>
    <w:rsid w:val="00E134BA"/>
    <w:rsid w:val="00E1698D"/>
    <w:rsid w:val="00E61451"/>
    <w:rsid w:val="00E651D9"/>
    <w:rsid w:val="00E65964"/>
    <w:rsid w:val="00E67321"/>
    <w:rsid w:val="00E67383"/>
    <w:rsid w:val="00E67A86"/>
    <w:rsid w:val="00E708B1"/>
    <w:rsid w:val="00E73EEA"/>
    <w:rsid w:val="00E9127C"/>
    <w:rsid w:val="00EA02BE"/>
    <w:rsid w:val="00EC306C"/>
    <w:rsid w:val="00ED1964"/>
    <w:rsid w:val="00ED796D"/>
    <w:rsid w:val="00EE3CBE"/>
    <w:rsid w:val="00EF058A"/>
    <w:rsid w:val="00EF2B6B"/>
    <w:rsid w:val="00EF67E6"/>
    <w:rsid w:val="00F01A52"/>
    <w:rsid w:val="00F03265"/>
    <w:rsid w:val="00F10A40"/>
    <w:rsid w:val="00F35359"/>
    <w:rsid w:val="00F357FF"/>
    <w:rsid w:val="00F35A81"/>
    <w:rsid w:val="00F43073"/>
    <w:rsid w:val="00F43633"/>
    <w:rsid w:val="00F44922"/>
    <w:rsid w:val="00F46D43"/>
    <w:rsid w:val="00F537E7"/>
    <w:rsid w:val="00F549D3"/>
    <w:rsid w:val="00F71080"/>
    <w:rsid w:val="00F73937"/>
    <w:rsid w:val="00F803B4"/>
    <w:rsid w:val="00F8300A"/>
    <w:rsid w:val="00F9059C"/>
    <w:rsid w:val="00F96BFD"/>
    <w:rsid w:val="00F976A9"/>
    <w:rsid w:val="00FA69C8"/>
    <w:rsid w:val="00FA7DE7"/>
    <w:rsid w:val="00FB010E"/>
    <w:rsid w:val="00FC189C"/>
    <w:rsid w:val="00FD3540"/>
    <w:rsid w:val="00FE5837"/>
    <w:rsid w:val="00FE633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FFF24"/>
  <w15:docId w15:val="{5AA8CAE0-D0E1-48D1-9D6A-3548C3DDD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CB05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
    <w:name w:val="nor"/>
    <w:basedOn w:val="Normal"/>
    <w:rsid w:val="00CB05CC"/>
    <w:pPr>
      <w:spacing w:after="0" w:line="240" w:lineRule="auto"/>
      <w:jc w:val="both"/>
    </w:pPr>
    <w:rPr>
      <w:rFonts w:ascii="New York" w:eastAsia="Times New Roman" w:hAnsi="New York" w:cs="Times New Roman"/>
      <w:sz w:val="18"/>
      <w:szCs w:val="18"/>
      <w:lang w:eastAsia="tr-TR"/>
    </w:rPr>
  </w:style>
  <w:style w:type="paragraph" w:styleId="AralkYok">
    <w:name w:val="No Spacing"/>
    <w:uiPriority w:val="1"/>
    <w:qFormat/>
    <w:rsid w:val="00393898"/>
    <w:pPr>
      <w:spacing w:after="0" w:line="240" w:lineRule="auto"/>
    </w:pPr>
  </w:style>
  <w:style w:type="paragraph" w:styleId="ListeParagraf">
    <w:name w:val="List Paragraph"/>
    <w:basedOn w:val="Normal"/>
    <w:uiPriority w:val="34"/>
    <w:qFormat/>
    <w:rsid w:val="00777634"/>
    <w:pPr>
      <w:ind w:left="720"/>
      <w:contextualSpacing/>
    </w:pPr>
  </w:style>
  <w:style w:type="character" w:styleId="AklamaBavurusu">
    <w:name w:val="annotation reference"/>
    <w:basedOn w:val="VarsaylanParagrafYazTipi"/>
    <w:uiPriority w:val="99"/>
    <w:semiHidden/>
    <w:unhideWhenUsed/>
    <w:rsid w:val="001B0E24"/>
    <w:rPr>
      <w:sz w:val="16"/>
      <w:szCs w:val="16"/>
    </w:rPr>
  </w:style>
  <w:style w:type="paragraph" w:styleId="AklamaMetni">
    <w:name w:val="annotation text"/>
    <w:basedOn w:val="Normal"/>
    <w:link w:val="AklamaMetniChar"/>
    <w:uiPriority w:val="99"/>
    <w:semiHidden/>
    <w:unhideWhenUsed/>
    <w:rsid w:val="001B0E24"/>
    <w:pPr>
      <w:spacing w:line="240" w:lineRule="auto"/>
    </w:pPr>
    <w:rPr>
      <w:sz w:val="20"/>
      <w:szCs w:val="20"/>
    </w:rPr>
  </w:style>
  <w:style w:type="character" w:customStyle="1" w:styleId="AklamaMetniChar">
    <w:name w:val="Açıklama Metni Char"/>
    <w:basedOn w:val="VarsaylanParagrafYazTipi"/>
    <w:link w:val="AklamaMetni"/>
    <w:uiPriority w:val="99"/>
    <w:semiHidden/>
    <w:rsid w:val="001B0E24"/>
    <w:rPr>
      <w:sz w:val="20"/>
      <w:szCs w:val="20"/>
    </w:rPr>
  </w:style>
  <w:style w:type="paragraph" w:styleId="AklamaKonusu">
    <w:name w:val="annotation subject"/>
    <w:basedOn w:val="AklamaMetni"/>
    <w:next w:val="AklamaMetni"/>
    <w:link w:val="AklamaKonusuChar"/>
    <w:uiPriority w:val="99"/>
    <w:semiHidden/>
    <w:unhideWhenUsed/>
    <w:rsid w:val="001B0E24"/>
    <w:rPr>
      <w:b/>
      <w:bCs/>
    </w:rPr>
  </w:style>
  <w:style w:type="character" w:customStyle="1" w:styleId="AklamaKonusuChar">
    <w:name w:val="Açıklama Konusu Char"/>
    <w:basedOn w:val="AklamaMetniChar"/>
    <w:link w:val="AklamaKonusu"/>
    <w:uiPriority w:val="99"/>
    <w:semiHidden/>
    <w:rsid w:val="001B0E24"/>
    <w:rPr>
      <w:b/>
      <w:bCs/>
      <w:sz w:val="20"/>
      <w:szCs w:val="20"/>
    </w:rPr>
  </w:style>
  <w:style w:type="paragraph" w:styleId="BalonMetni">
    <w:name w:val="Balloon Text"/>
    <w:basedOn w:val="Normal"/>
    <w:link w:val="BalonMetniChar"/>
    <w:uiPriority w:val="99"/>
    <w:semiHidden/>
    <w:unhideWhenUsed/>
    <w:rsid w:val="001B0E24"/>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1B0E24"/>
    <w:rPr>
      <w:rFonts w:ascii="Segoe UI" w:hAnsi="Segoe UI" w:cs="Segoe UI"/>
      <w:sz w:val="18"/>
      <w:szCs w:val="18"/>
    </w:rPr>
  </w:style>
  <w:style w:type="paragraph" w:styleId="Dzeltme">
    <w:name w:val="Revision"/>
    <w:hidden/>
    <w:uiPriority w:val="99"/>
    <w:semiHidden/>
    <w:rsid w:val="00221C19"/>
    <w:pPr>
      <w:spacing w:after="0" w:line="240" w:lineRule="auto"/>
    </w:pPr>
  </w:style>
  <w:style w:type="paragraph" w:styleId="GvdeMetni2">
    <w:name w:val="Body Text 2"/>
    <w:basedOn w:val="Normal"/>
    <w:link w:val="GvdeMetni2Char"/>
    <w:rsid w:val="006C3121"/>
    <w:pPr>
      <w:spacing w:before="80" w:after="0" w:line="220" w:lineRule="exact"/>
      <w:jc w:val="both"/>
    </w:pPr>
    <w:rPr>
      <w:rFonts w:ascii="Arial" w:eastAsia="Times New Roman" w:hAnsi="Arial" w:cs="Times New Roman"/>
      <w:b/>
      <w:sz w:val="18"/>
      <w:szCs w:val="20"/>
    </w:rPr>
  </w:style>
  <w:style w:type="character" w:customStyle="1" w:styleId="GvdeMetni2Char">
    <w:name w:val="Gövde Metni 2 Char"/>
    <w:basedOn w:val="VarsaylanParagrafYazTipi"/>
    <w:link w:val="GvdeMetni2"/>
    <w:rsid w:val="006C3121"/>
    <w:rPr>
      <w:rFonts w:ascii="Arial" w:eastAsia="Times New Roman" w:hAnsi="Arial" w:cs="Times New Roman"/>
      <w:b/>
      <w:sz w:val="18"/>
      <w:szCs w:val="20"/>
    </w:rPr>
  </w:style>
  <w:style w:type="paragraph" w:styleId="stBilgi">
    <w:name w:val="header"/>
    <w:basedOn w:val="Normal"/>
    <w:link w:val="stBilgiChar"/>
    <w:uiPriority w:val="99"/>
    <w:rsid w:val="00C9620E"/>
    <w:pPr>
      <w:tabs>
        <w:tab w:val="center" w:pos="4536"/>
        <w:tab w:val="right" w:pos="9072"/>
      </w:tabs>
      <w:spacing w:after="0" w:line="240" w:lineRule="auto"/>
    </w:pPr>
    <w:rPr>
      <w:rFonts w:ascii="Times New Roman" w:eastAsia="Times New Roman" w:hAnsi="Times New Roman" w:cs="Times New Roman"/>
      <w:sz w:val="24"/>
      <w:szCs w:val="24"/>
      <w:lang w:eastAsia="tr-TR"/>
    </w:rPr>
  </w:style>
  <w:style w:type="character" w:customStyle="1" w:styleId="stBilgiChar">
    <w:name w:val="Üst Bilgi Char"/>
    <w:basedOn w:val="VarsaylanParagrafYazTipi"/>
    <w:link w:val="stBilgi"/>
    <w:uiPriority w:val="99"/>
    <w:rsid w:val="00C9620E"/>
    <w:rPr>
      <w:rFonts w:ascii="Times New Roman" w:eastAsia="Times New Roman" w:hAnsi="Times New Roman" w:cs="Times New Roman"/>
      <w:sz w:val="24"/>
      <w:szCs w:val="24"/>
      <w:lang w:eastAsia="tr-TR"/>
    </w:rPr>
  </w:style>
  <w:style w:type="paragraph" w:customStyle="1" w:styleId="Gvdemetni1">
    <w:name w:val="Gövde metni1"/>
    <w:basedOn w:val="Normal"/>
    <w:rsid w:val="00D5380A"/>
    <w:pPr>
      <w:shd w:val="clear" w:color="auto" w:fill="FFFFFF"/>
      <w:spacing w:after="0" w:line="254" w:lineRule="exact"/>
      <w:jc w:val="both"/>
    </w:pPr>
    <w:rPr>
      <w:rFonts w:ascii="Batang" w:eastAsia="Batang" w:hAnsi="Courier New" w:cs="Batang"/>
      <w:sz w:val="17"/>
      <w:szCs w:val="17"/>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E36BD0-3FEB-4B94-B76C-131E74625B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1736</Words>
  <Characters>9897</Characters>
  <Application>Microsoft Office Word</Application>
  <DocSecurity>0</DocSecurity>
  <Lines>82</Lines>
  <Paragraphs>23</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11610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Doruk Karsi</dc:creator>
  <cp:lastModifiedBy>HP</cp:lastModifiedBy>
  <cp:revision>2</cp:revision>
  <cp:lastPrinted>2016-11-21T14:39:00Z</cp:lastPrinted>
  <dcterms:created xsi:type="dcterms:W3CDTF">2020-06-05T17:10:00Z</dcterms:created>
  <dcterms:modified xsi:type="dcterms:W3CDTF">2020-06-05T17:10:00Z</dcterms:modified>
</cp:coreProperties>
</file>